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267B" w14:textId="6F476853" w:rsidR="008419F3" w:rsidRPr="003C7F6D" w:rsidRDefault="008419F3" w:rsidP="008419F3">
      <w:pPr>
        <w:spacing w:line="240" w:lineRule="auto"/>
        <w:jc w:val="center"/>
        <w:rPr>
          <w:b/>
          <w:sz w:val="24"/>
          <w:szCs w:val="24"/>
        </w:rPr>
      </w:pPr>
      <w:r w:rsidRPr="003C7F6D">
        <w:rPr>
          <w:b/>
          <w:sz w:val="24"/>
          <w:szCs w:val="24"/>
        </w:rPr>
        <w:t>BEFORE</w:t>
      </w:r>
      <w:r w:rsidR="002514B0">
        <w:rPr>
          <w:b/>
          <w:sz w:val="24"/>
          <w:szCs w:val="24"/>
        </w:rPr>
        <w:t xml:space="preserve"> </w:t>
      </w:r>
      <w:r w:rsidRPr="003C7F6D">
        <w:rPr>
          <w:b/>
          <w:sz w:val="24"/>
          <w:szCs w:val="24"/>
        </w:rPr>
        <w:t>THE</w:t>
      </w:r>
    </w:p>
    <w:p w14:paraId="54573CBC" w14:textId="51E7F70C" w:rsidR="008419F3" w:rsidRPr="003C7F6D" w:rsidRDefault="008419F3" w:rsidP="008419F3">
      <w:pPr>
        <w:spacing w:line="240" w:lineRule="auto"/>
        <w:jc w:val="center"/>
        <w:rPr>
          <w:b/>
          <w:sz w:val="24"/>
          <w:szCs w:val="24"/>
        </w:rPr>
      </w:pPr>
      <w:r w:rsidRPr="003C7F6D">
        <w:rPr>
          <w:b/>
          <w:sz w:val="24"/>
          <w:szCs w:val="24"/>
        </w:rPr>
        <w:t>COUNCIL</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CITY</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NEW</w:t>
      </w:r>
      <w:r w:rsidR="002514B0">
        <w:rPr>
          <w:b/>
          <w:sz w:val="24"/>
          <w:szCs w:val="24"/>
        </w:rPr>
        <w:t xml:space="preserve"> </w:t>
      </w:r>
      <w:r w:rsidRPr="003C7F6D">
        <w:rPr>
          <w:b/>
          <w:sz w:val="24"/>
          <w:szCs w:val="24"/>
        </w:rPr>
        <w:t>ORLEANS</w:t>
      </w:r>
    </w:p>
    <w:p w14:paraId="31C1E279" w14:textId="77777777" w:rsidR="008419F3" w:rsidRPr="003C7F6D" w:rsidRDefault="008419F3" w:rsidP="008419F3">
      <w:pPr>
        <w:spacing w:line="240" w:lineRule="auto"/>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8419F3" w:rsidRPr="003C7F6D" w14:paraId="79BB9A46" w14:textId="77777777" w:rsidTr="00266185">
        <w:tc>
          <w:tcPr>
            <w:tcW w:w="4315" w:type="dxa"/>
            <w:vAlign w:val="center"/>
          </w:tcPr>
          <w:p w14:paraId="7619FE31" w14:textId="1D828CB9" w:rsidR="008419F3" w:rsidRPr="003C7F6D" w:rsidRDefault="008419F3" w:rsidP="00266185">
            <w:pPr>
              <w:spacing w:line="240" w:lineRule="auto"/>
              <w:jc w:val="both"/>
              <w:rPr>
                <w:b/>
                <w:sz w:val="24"/>
                <w:szCs w:val="24"/>
              </w:rPr>
            </w:pPr>
            <w:r w:rsidRPr="003C7F6D">
              <w:rPr>
                <w:b/>
                <w:sz w:val="24"/>
                <w:szCs w:val="24"/>
              </w:rPr>
              <w:t>IN</w:t>
            </w:r>
            <w:r w:rsidR="002514B0">
              <w:rPr>
                <w:b/>
                <w:sz w:val="24"/>
                <w:szCs w:val="24"/>
              </w:rPr>
              <w:t xml:space="preserve"> </w:t>
            </w:r>
            <w:r w:rsidRPr="003C7F6D">
              <w:rPr>
                <w:b/>
                <w:sz w:val="24"/>
                <w:szCs w:val="24"/>
              </w:rPr>
              <w:t>RE:</w:t>
            </w:r>
            <w:r w:rsidR="002514B0">
              <w:rPr>
                <w:b/>
                <w:sz w:val="24"/>
                <w:szCs w:val="24"/>
              </w:rPr>
              <w:t xml:space="preserve"> </w:t>
            </w:r>
            <w:r w:rsidRPr="003C7F6D">
              <w:rPr>
                <w:b/>
                <w:sz w:val="24"/>
                <w:szCs w:val="24"/>
              </w:rPr>
              <w:t>REVISED</w:t>
            </w:r>
            <w:r w:rsidR="002514B0">
              <w:rPr>
                <w:b/>
                <w:sz w:val="24"/>
                <w:szCs w:val="24"/>
              </w:rPr>
              <w:t xml:space="preserve"> </w:t>
            </w:r>
            <w:r w:rsidRPr="003C7F6D">
              <w:rPr>
                <w:b/>
                <w:sz w:val="24"/>
                <w:szCs w:val="24"/>
              </w:rPr>
              <w:t>APPLICATION</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ENO</w:t>
            </w:r>
            <w:r w:rsidR="002514B0">
              <w:rPr>
                <w:b/>
                <w:sz w:val="24"/>
                <w:szCs w:val="24"/>
              </w:rPr>
              <w:t xml:space="preserve"> </w:t>
            </w:r>
            <w:r w:rsidRPr="003C7F6D">
              <w:rPr>
                <w:b/>
                <w:sz w:val="24"/>
                <w:szCs w:val="24"/>
              </w:rPr>
              <w:t>NEW</w:t>
            </w:r>
            <w:r w:rsidR="002514B0">
              <w:rPr>
                <w:b/>
                <w:sz w:val="24"/>
                <w:szCs w:val="24"/>
              </w:rPr>
              <w:t xml:space="preserve"> </w:t>
            </w:r>
            <w:r w:rsidRPr="003C7F6D">
              <w:rPr>
                <w:b/>
                <w:sz w:val="24"/>
                <w:szCs w:val="24"/>
              </w:rPr>
              <w:t>ORLEANS,</w:t>
            </w:r>
            <w:r w:rsidR="002514B0">
              <w:rPr>
                <w:b/>
                <w:sz w:val="24"/>
                <w:szCs w:val="24"/>
              </w:rPr>
              <w:t xml:space="preserve"> </w:t>
            </w:r>
            <w:r w:rsidRPr="003C7F6D">
              <w:rPr>
                <w:b/>
                <w:sz w:val="24"/>
                <w:szCs w:val="24"/>
              </w:rPr>
              <w:t>LLC</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A</w:t>
            </w:r>
            <w:r w:rsidR="002514B0">
              <w:rPr>
                <w:b/>
                <w:sz w:val="24"/>
                <w:szCs w:val="24"/>
              </w:rPr>
              <w:t xml:space="preserve"> </w:t>
            </w:r>
            <w:r w:rsidRPr="003C7F6D">
              <w:rPr>
                <w:b/>
                <w:sz w:val="24"/>
                <w:szCs w:val="24"/>
              </w:rPr>
              <w:t>CHANGE</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ELECTRIC</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GAS</w:t>
            </w:r>
            <w:r w:rsidR="002514B0">
              <w:rPr>
                <w:b/>
                <w:sz w:val="24"/>
                <w:szCs w:val="24"/>
              </w:rPr>
              <w:t xml:space="preserve"> </w:t>
            </w:r>
            <w:r w:rsidRPr="003C7F6D">
              <w:rPr>
                <w:b/>
                <w:sz w:val="24"/>
                <w:szCs w:val="24"/>
              </w:rPr>
              <w:t>RATES</w:t>
            </w:r>
            <w:r w:rsidR="002514B0">
              <w:rPr>
                <w:b/>
                <w:sz w:val="24"/>
                <w:szCs w:val="24"/>
              </w:rPr>
              <w:t xml:space="preserve"> </w:t>
            </w:r>
            <w:r w:rsidRPr="003C7F6D">
              <w:rPr>
                <w:b/>
                <w:sz w:val="24"/>
                <w:szCs w:val="24"/>
              </w:rPr>
              <w:t>PURSUANT</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RESOLUTIONS</w:t>
            </w:r>
            <w:r w:rsidR="002514B0">
              <w:rPr>
                <w:b/>
                <w:sz w:val="24"/>
                <w:szCs w:val="24"/>
              </w:rPr>
              <w:t xml:space="preserve"> </w:t>
            </w:r>
            <w:r w:rsidRPr="003C7F6D">
              <w:rPr>
                <w:b/>
                <w:sz w:val="24"/>
                <w:szCs w:val="24"/>
              </w:rPr>
              <w:t>R-15-194</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R-17-504</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RELATED</w:t>
            </w:r>
            <w:r w:rsidR="002514B0">
              <w:rPr>
                <w:b/>
                <w:sz w:val="24"/>
                <w:szCs w:val="24"/>
              </w:rPr>
              <w:t xml:space="preserve"> </w:t>
            </w:r>
            <w:r w:rsidRPr="003C7F6D">
              <w:rPr>
                <w:b/>
                <w:sz w:val="24"/>
                <w:szCs w:val="24"/>
              </w:rPr>
              <w:t>RELIEF</w:t>
            </w:r>
          </w:p>
        </w:tc>
        <w:tc>
          <w:tcPr>
            <w:tcW w:w="540" w:type="dxa"/>
            <w:vAlign w:val="center"/>
          </w:tcPr>
          <w:p w14:paraId="5E398D84" w14:textId="77777777" w:rsidR="008419F3" w:rsidRPr="003C7F6D" w:rsidRDefault="008419F3" w:rsidP="00266185">
            <w:pPr>
              <w:spacing w:line="240" w:lineRule="auto"/>
              <w:jc w:val="both"/>
              <w:rPr>
                <w:b/>
                <w:sz w:val="24"/>
                <w:szCs w:val="24"/>
              </w:rPr>
            </w:pPr>
            <w:r w:rsidRPr="003C7F6D">
              <w:rPr>
                <w:b/>
                <w:sz w:val="24"/>
                <w:szCs w:val="24"/>
              </w:rPr>
              <w:t>)</w:t>
            </w:r>
          </w:p>
          <w:p w14:paraId="60F6FA8F" w14:textId="77777777" w:rsidR="008419F3" w:rsidRPr="003C7F6D" w:rsidRDefault="008419F3" w:rsidP="00266185">
            <w:pPr>
              <w:spacing w:line="240" w:lineRule="auto"/>
              <w:jc w:val="both"/>
              <w:rPr>
                <w:b/>
                <w:sz w:val="24"/>
                <w:szCs w:val="24"/>
              </w:rPr>
            </w:pPr>
            <w:r w:rsidRPr="003C7F6D">
              <w:rPr>
                <w:b/>
                <w:sz w:val="24"/>
                <w:szCs w:val="24"/>
              </w:rPr>
              <w:t>)</w:t>
            </w:r>
          </w:p>
          <w:p w14:paraId="7DF73895" w14:textId="77777777" w:rsidR="008419F3" w:rsidRPr="003C7F6D" w:rsidRDefault="008419F3" w:rsidP="00266185">
            <w:pPr>
              <w:spacing w:line="240" w:lineRule="auto"/>
              <w:jc w:val="both"/>
              <w:rPr>
                <w:b/>
                <w:sz w:val="24"/>
                <w:szCs w:val="24"/>
              </w:rPr>
            </w:pPr>
            <w:r w:rsidRPr="003C7F6D">
              <w:rPr>
                <w:b/>
                <w:sz w:val="24"/>
                <w:szCs w:val="24"/>
              </w:rPr>
              <w:t>)</w:t>
            </w:r>
          </w:p>
          <w:p w14:paraId="104296E8" w14:textId="77777777" w:rsidR="008419F3" w:rsidRPr="003C7F6D" w:rsidRDefault="008419F3" w:rsidP="00266185">
            <w:pPr>
              <w:spacing w:line="240" w:lineRule="auto"/>
              <w:jc w:val="both"/>
              <w:rPr>
                <w:b/>
                <w:sz w:val="24"/>
                <w:szCs w:val="24"/>
              </w:rPr>
            </w:pPr>
            <w:r w:rsidRPr="003C7F6D">
              <w:rPr>
                <w:b/>
                <w:sz w:val="24"/>
                <w:szCs w:val="24"/>
              </w:rPr>
              <w:t>)</w:t>
            </w:r>
          </w:p>
          <w:p w14:paraId="65A3EF9C" w14:textId="77777777" w:rsidR="008419F3" w:rsidRPr="003C7F6D" w:rsidRDefault="008419F3" w:rsidP="00266185">
            <w:pPr>
              <w:spacing w:line="240" w:lineRule="auto"/>
              <w:jc w:val="both"/>
              <w:rPr>
                <w:b/>
                <w:sz w:val="24"/>
                <w:szCs w:val="24"/>
              </w:rPr>
            </w:pPr>
            <w:r w:rsidRPr="003C7F6D">
              <w:rPr>
                <w:b/>
                <w:sz w:val="24"/>
                <w:szCs w:val="24"/>
              </w:rPr>
              <w:t>)</w:t>
            </w:r>
          </w:p>
          <w:p w14:paraId="5D2C2FC0" w14:textId="77777777" w:rsidR="008419F3" w:rsidRPr="003C7F6D" w:rsidRDefault="008419F3" w:rsidP="00266185">
            <w:pPr>
              <w:spacing w:line="240" w:lineRule="auto"/>
              <w:jc w:val="both"/>
              <w:rPr>
                <w:b/>
                <w:sz w:val="24"/>
                <w:szCs w:val="24"/>
              </w:rPr>
            </w:pPr>
            <w:r w:rsidRPr="003C7F6D">
              <w:rPr>
                <w:b/>
                <w:sz w:val="24"/>
                <w:szCs w:val="24"/>
              </w:rPr>
              <w:t>)</w:t>
            </w:r>
          </w:p>
          <w:p w14:paraId="0330D12A" w14:textId="77777777" w:rsidR="008419F3" w:rsidRPr="003C7F6D" w:rsidRDefault="008419F3" w:rsidP="00266185">
            <w:pPr>
              <w:spacing w:line="240" w:lineRule="auto"/>
              <w:jc w:val="both"/>
              <w:rPr>
                <w:b/>
                <w:sz w:val="24"/>
                <w:szCs w:val="24"/>
              </w:rPr>
            </w:pPr>
            <w:r w:rsidRPr="003C7F6D">
              <w:rPr>
                <w:b/>
                <w:sz w:val="24"/>
                <w:szCs w:val="24"/>
              </w:rPr>
              <w:t>)</w:t>
            </w:r>
          </w:p>
          <w:p w14:paraId="02D4E7C4" w14:textId="77777777" w:rsidR="008419F3" w:rsidRPr="003C7F6D" w:rsidRDefault="008419F3" w:rsidP="00266185">
            <w:pPr>
              <w:spacing w:line="240" w:lineRule="auto"/>
              <w:jc w:val="both"/>
              <w:rPr>
                <w:b/>
                <w:sz w:val="24"/>
                <w:szCs w:val="24"/>
              </w:rPr>
            </w:pPr>
            <w:r w:rsidRPr="003C7F6D">
              <w:rPr>
                <w:b/>
                <w:sz w:val="24"/>
                <w:szCs w:val="24"/>
              </w:rPr>
              <w:t>)</w:t>
            </w:r>
          </w:p>
        </w:tc>
        <w:tc>
          <w:tcPr>
            <w:tcW w:w="4495" w:type="dxa"/>
            <w:vAlign w:val="center"/>
          </w:tcPr>
          <w:p w14:paraId="3CCC03D3" w14:textId="0AF31162" w:rsidR="008419F3" w:rsidRPr="003C7F6D" w:rsidRDefault="008419F3" w:rsidP="00266185">
            <w:pPr>
              <w:spacing w:line="240" w:lineRule="auto"/>
              <w:jc w:val="both"/>
              <w:rPr>
                <w:b/>
                <w:sz w:val="24"/>
                <w:szCs w:val="24"/>
              </w:rPr>
            </w:pPr>
            <w:r w:rsidRPr="003C7F6D">
              <w:rPr>
                <w:b/>
                <w:sz w:val="24"/>
                <w:szCs w:val="24"/>
              </w:rPr>
              <w:t>DOCKET</w:t>
            </w:r>
            <w:r w:rsidR="002514B0">
              <w:rPr>
                <w:b/>
                <w:sz w:val="24"/>
                <w:szCs w:val="24"/>
              </w:rPr>
              <w:t xml:space="preserve"> </w:t>
            </w:r>
            <w:r w:rsidRPr="003C7F6D">
              <w:rPr>
                <w:b/>
                <w:sz w:val="24"/>
                <w:szCs w:val="24"/>
              </w:rPr>
              <w:t>NO.</w:t>
            </w:r>
            <w:r w:rsidR="002514B0">
              <w:rPr>
                <w:b/>
                <w:sz w:val="24"/>
                <w:szCs w:val="24"/>
              </w:rPr>
              <w:t xml:space="preserve"> </w:t>
            </w:r>
            <w:r w:rsidRPr="003C7F6D">
              <w:rPr>
                <w:b/>
                <w:sz w:val="24"/>
                <w:szCs w:val="24"/>
              </w:rPr>
              <w:t>UD-18-07</w:t>
            </w:r>
          </w:p>
        </w:tc>
      </w:tr>
    </w:tbl>
    <w:p w14:paraId="2D1A65D1" w14:textId="77777777" w:rsidR="008419F3" w:rsidRPr="003C7F6D" w:rsidRDefault="008419F3" w:rsidP="008419F3">
      <w:pPr>
        <w:pStyle w:val="BodyText"/>
        <w:spacing w:line="240" w:lineRule="auto"/>
        <w:rPr>
          <w:b/>
          <w:szCs w:val="24"/>
        </w:rPr>
      </w:pPr>
    </w:p>
    <w:p w14:paraId="68C0DC77" w14:textId="77777777" w:rsidR="008419F3" w:rsidRPr="003C7F6D" w:rsidRDefault="008419F3" w:rsidP="008419F3">
      <w:pPr>
        <w:pStyle w:val="BodyText"/>
        <w:spacing w:line="240" w:lineRule="auto"/>
        <w:rPr>
          <w:b/>
          <w:szCs w:val="24"/>
        </w:rPr>
      </w:pPr>
    </w:p>
    <w:p w14:paraId="49D69D64" w14:textId="77777777" w:rsidR="008419F3" w:rsidRPr="003C7F6D" w:rsidRDefault="008419F3" w:rsidP="008419F3">
      <w:pPr>
        <w:pStyle w:val="BodyText"/>
        <w:spacing w:line="240" w:lineRule="auto"/>
        <w:rPr>
          <w:b/>
          <w:szCs w:val="24"/>
        </w:rPr>
      </w:pPr>
    </w:p>
    <w:p w14:paraId="4960EF34" w14:textId="77777777" w:rsidR="008419F3" w:rsidRPr="003C7F6D" w:rsidRDefault="008419F3" w:rsidP="008419F3">
      <w:pPr>
        <w:pStyle w:val="BodyText"/>
        <w:spacing w:line="240" w:lineRule="auto"/>
        <w:rPr>
          <w:b/>
          <w:szCs w:val="24"/>
        </w:rPr>
      </w:pPr>
    </w:p>
    <w:p w14:paraId="26C56A9E" w14:textId="77777777" w:rsidR="008419F3" w:rsidRPr="003C7F6D" w:rsidRDefault="008419F3" w:rsidP="008419F3">
      <w:pPr>
        <w:pStyle w:val="BodyText"/>
        <w:spacing w:line="240" w:lineRule="auto"/>
        <w:rPr>
          <w:b/>
          <w:szCs w:val="24"/>
        </w:rPr>
      </w:pPr>
    </w:p>
    <w:p w14:paraId="7E98093C" w14:textId="749A902E" w:rsidR="008419F3" w:rsidRPr="003C7F6D" w:rsidRDefault="008419F3" w:rsidP="008419F3">
      <w:pPr>
        <w:spacing w:line="240" w:lineRule="auto"/>
        <w:jc w:val="center"/>
        <w:rPr>
          <w:b/>
          <w:w w:val="105"/>
          <w:sz w:val="24"/>
          <w:szCs w:val="24"/>
        </w:rPr>
      </w:pPr>
      <w:r w:rsidRPr="003C7F6D">
        <w:rPr>
          <w:b/>
          <w:w w:val="105"/>
          <w:sz w:val="24"/>
          <w:szCs w:val="24"/>
        </w:rPr>
        <w:t>BUILDING</w:t>
      </w:r>
      <w:r w:rsidR="002514B0">
        <w:rPr>
          <w:b/>
          <w:w w:val="105"/>
          <w:sz w:val="24"/>
          <w:szCs w:val="24"/>
        </w:rPr>
        <w:t xml:space="preserve"> </w:t>
      </w:r>
      <w:r w:rsidRPr="003C7F6D">
        <w:rPr>
          <w:b/>
          <w:w w:val="105"/>
          <w:sz w:val="24"/>
          <w:szCs w:val="24"/>
        </w:rPr>
        <w:t>SCIENCE</w:t>
      </w:r>
      <w:r w:rsidR="002514B0">
        <w:rPr>
          <w:b/>
          <w:w w:val="105"/>
          <w:sz w:val="24"/>
          <w:szCs w:val="24"/>
        </w:rPr>
        <w:t xml:space="preserve"> </w:t>
      </w:r>
      <w:r w:rsidRPr="003C7F6D">
        <w:rPr>
          <w:b/>
          <w:w w:val="105"/>
          <w:sz w:val="24"/>
          <w:szCs w:val="24"/>
        </w:rPr>
        <w:t>INNOVATORS,</w:t>
      </w:r>
      <w:r w:rsidR="002514B0">
        <w:rPr>
          <w:b/>
          <w:w w:val="105"/>
          <w:sz w:val="24"/>
          <w:szCs w:val="24"/>
        </w:rPr>
        <w:t xml:space="preserve"> </w:t>
      </w:r>
      <w:r w:rsidRPr="003C7F6D">
        <w:rPr>
          <w:b/>
          <w:w w:val="105"/>
          <w:sz w:val="24"/>
          <w:szCs w:val="24"/>
        </w:rPr>
        <w:t>LLC</w:t>
      </w:r>
    </w:p>
    <w:p w14:paraId="29A73AD5" w14:textId="7B800E45" w:rsidR="008419F3" w:rsidRPr="003C7F6D" w:rsidRDefault="008419F3" w:rsidP="008419F3">
      <w:pPr>
        <w:spacing w:line="240" w:lineRule="auto"/>
        <w:jc w:val="center"/>
        <w:rPr>
          <w:b/>
          <w:sz w:val="24"/>
          <w:szCs w:val="24"/>
        </w:rPr>
      </w:pPr>
      <w:r w:rsidRPr="003C7F6D">
        <w:rPr>
          <w:b/>
          <w:w w:val="105"/>
          <w:sz w:val="24"/>
          <w:szCs w:val="24"/>
        </w:rPr>
        <w:t>REPLY</w:t>
      </w:r>
      <w:r w:rsidR="002514B0">
        <w:rPr>
          <w:b/>
          <w:w w:val="105"/>
          <w:sz w:val="24"/>
          <w:szCs w:val="24"/>
        </w:rPr>
        <w:t xml:space="preserve"> </w:t>
      </w:r>
      <w:r w:rsidRPr="003C7F6D">
        <w:rPr>
          <w:b/>
          <w:w w:val="105"/>
          <w:sz w:val="24"/>
          <w:szCs w:val="24"/>
        </w:rPr>
        <w:t>BRIEF</w:t>
      </w:r>
    </w:p>
    <w:p w14:paraId="0F88D6EC" w14:textId="77777777" w:rsidR="008419F3" w:rsidRPr="003C7F6D" w:rsidRDefault="008419F3" w:rsidP="008419F3">
      <w:pPr>
        <w:pStyle w:val="BodyText"/>
        <w:spacing w:line="240" w:lineRule="auto"/>
        <w:rPr>
          <w:b/>
          <w:szCs w:val="24"/>
        </w:rPr>
      </w:pPr>
    </w:p>
    <w:p w14:paraId="0FA9D189" w14:textId="77777777" w:rsidR="008419F3" w:rsidRPr="003C7F6D" w:rsidRDefault="008419F3" w:rsidP="008419F3">
      <w:pPr>
        <w:pStyle w:val="BodyText"/>
        <w:spacing w:line="240" w:lineRule="auto"/>
        <w:rPr>
          <w:b/>
          <w:szCs w:val="24"/>
        </w:rPr>
      </w:pPr>
    </w:p>
    <w:p w14:paraId="00D83849" w14:textId="7FF8786E" w:rsidR="008419F3" w:rsidRPr="003C7F6D" w:rsidRDefault="008419F3" w:rsidP="008419F3">
      <w:pPr>
        <w:tabs>
          <w:tab w:val="left" w:pos="1440"/>
        </w:tabs>
        <w:ind w:left="1440" w:right="1180"/>
        <w:jc w:val="both"/>
        <w:rPr>
          <w:w w:val="105"/>
          <w:sz w:val="24"/>
          <w:szCs w:val="24"/>
        </w:rPr>
      </w:pPr>
      <w:r w:rsidRPr="003C7F6D">
        <w:rPr>
          <w:bCs/>
          <w:w w:val="105"/>
          <w:sz w:val="24"/>
          <w:szCs w:val="24"/>
        </w:rPr>
        <w:t>Building</w:t>
      </w:r>
      <w:r w:rsidR="002514B0">
        <w:rPr>
          <w:bCs/>
          <w:w w:val="105"/>
          <w:sz w:val="24"/>
          <w:szCs w:val="24"/>
        </w:rPr>
        <w:t xml:space="preserve"> </w:t>
      </w:r>
      <w:r w:rsidRPr="003C7F6D">
        <w:rPr>
          <w:bCs/>
          <w:w w:val="105"/>
          <w:sz w:val="24"/>
          <w:szCs w:val="24"/>
        </w:rPr>
        <w:t>Science</w:t>
      </w:r>
      <w:r w:rsidR="002514B0">
        <w:rPr>
          <w:bCs/>
          <w:w w:val="105"/>
          <w:sz w:val="24"/>
          <w:szCs w:val="24"/>
        </w:rPr>
        <w:t xml:space="preserve"> </w:t>
      </w:r>
      <w:r w:rsidRPr="003C7F6D">
        <w:rPr>
          <w:bCs/>
          <w:w w:val="105"/>
          <w:sz w:val="24"/>
          <w:szCs w:val="24"/>
        </w:rPr>
        <w:t>Innovators</w:t>
      </w:r>
      <w:r w:rsidR="002514B0">
        <w:rPr>
          <w:w w:val="105"/>
          <w:sz w:val="24"/>
          <w:szCs w:val="24"/>
        </w:rPr>
        <w:t xml:space="preserve"> </w:t>
      </w:r>
      <w:r w:rsidRPr="003C7F6D">
        <w:rPr>
          <w:w w:val="105"/>
          <w:sz w:val="24"/>
          <w:szCs w:val="24"/>
        </w:rPr>
        <w:t>(BSI)</w:t>
      </w:r>
      <w:r w:rsidR="002514B0">
        <w:rPr>
          <w:w w:val="105"/>
          <w:sz w:val="24"/>
          <w:szCs w:val="24"/>
        </w:rPr>
        <w:t xml:space="preserve"> </w:t>
      </w:r>
      <w:r w:rsidRPr="003C7F6D">
        <w:rPr>
          <w:w w:val="105"/>
          <w:sz w:val="24"/>
          <w:szCs w:val="24"/>
        </w:rPr>
        <w:t>submits</w:t>
      </w:r>
      <w:r w:rsidR="002514B0">
        <w:rPr>
          <w:w w:val="105"/>
          <w:sz w:val="24"/>
          <w:szCs w:val="24"/>
        </w:rPr>
        <w:t xml:space="preserve"> </w:t>
      </w:r>
      <w:r w:rsidRPr="003C7F6D">
        <w:rPr>
          <w:w w:val="105"/>
          <w:sz w:val="24"/>
          <w:szCs w:val="24"/>
        </w:rPr>
        <w:t>this</w:t>
      </w:r>
      <w:r w:rsidR="002514B0">
        <w:rPr>
          <w:w w:val="105"/>
          <w:sz w:val="24"/>
          <w:szCs w:val="24"/>
        </w:rPr>
        <w:t xml:space="preserve"> </w:t>
      </w:r>
      <w:r w:rsidRPr="003C7F6D">
        <w:rPr>
          <w:w w:val="105"/>
          <w:sz w:val="24"/>
          <w:szCs w:val="24"/>
        </w:rPr>
        <w:t>Reply</w:t>
      </w:r>
      <w:r w:rsidR="002514B0">
        <w:rPr>
          <w:w w:val="105"/>
          <w:sz w:val="24"/>
          <w:szCs w:val="24"/>
        </w:rPr>
        <w:t xml:space="preserve"> </w:t>
      </w:r>
      <w:r w:rsidRPr="003C7F6D">
        <w:rPr>
          <w:w w:val="105"/>
          <w:sz w:val="24"/>
          <w:szCs w:val="24"/>
        </w:rPr>
        <w:t>Brief</w:t>
      </w:r>
      <w:r w:rsidR="002514B0">
        <w:rPr>
          <w:w w:val="105"/>
          <w:sz w:val="24"/>
          <w:szCs w:val="24"/>
        </w:rPr>
        <w:t xml:space="preserve"> </w:t>
      </w:r>
      <w:r w:rsidRPr="003C7F6D">
        <w:rPr>
          <w:w w:val="105"/>
          <w:sz w:val="24"/>
          <w:szCs w:val="24"/>
        </w:rPr>
        <w:t>to</w:t>
      </w:r>
      <w:r w:rsidR="002514B0">
        <w:rPr>
          <w:w w:val="105"/>
          <w:sz w:val="24"/>
          <w:szCs w:val="24"/>
        </w:rPr>
        <w:t xml:space="preserve"> </w:t>
      </w:r>
      <w:r w:rsidRPr="003C7F6D">
        <w:rPr>
          <w:w w:val="105"/>
          <w:sz w:val="24"/>
          <w:szCs w:val="24"/>
        </w:rPr>
        <w:t>the</w:t>
      </w:r>
      <w:r w:rsidR="002514B0">
        <w:rPr>
          <w:w w:val="105"/>
          <w:sz w:val="24"/>
          <w:szCs w:val="24"/>
        </w:rPr>
        <w:t xml:space="preserve"> </w:t>
      </w:r>
      <w:r w:rsidRPr="003C7F6D">
        <w:rPr>
          <w:w w:val="105"/>
          <w:sz w:val="24"/>
          <w:szCs w:val="24"/>
        </w:rPr>
        <w:t>New</w:t>
      </w:r>
      <w:r w:rsidR="002514B0">
        <w:rPr>
          <w:w w:val="105"/>
          <w:sz w:val="24"/>
          <w:szCs w:val="24"/>
        </w:rPr>
        <w:t xml:space="preserve"> </w:t>
      </w:r>
      <w:r w:rsidRPr="003C7F6D">
        <w:rPr>
          <w:w w:val="105"/>
          <w:sz w:val="24"/>
          <w:szCs w:val="24"/>
        </w:rPr>
        <w:t>Orleans</w:t>
      </w:r>
      <w:r w:rsidR="002514B0">
        <w:rPr>
          <w:w w:val="105"/>
          <w:sz w:val="24"/>
          <w:szCs w:val="24"/>
        </w:rPr>
        <w:t xml:space="preserve"> </w:t>
      </w:r>
      <w:r w:rsidRPr="003C7F6D">
        <w:rPr>
          <w:w w:val="105"/>
          <w:sz w:val="24"/>
          <w:szCs w:val="24"/>
        </w:rPr>
        <w:t>City</w:t>
      </w:r>
      <w:r w:rsidR="002514B0">
        <w:rPr>
          <w:w w:val="105"/>
          <w:sz w:val="24"/>
          <w:szCs w:val="24"/>
        </w:rPr>
        <w:t xml:space="preserve"> </w:t>
      </w:r>
      <w:r w:rsidRPr="003C7F6D">
        <w:rPr>
          <w:w w:val="105"/>
          <w:sz w:val="24"/>
          <w:szCs w:val="24"/>
        </w:rPr>
        <w:t>Council</w:t>
      </w:r>
      <w:r w:rsidR="002514B0">
        <w:rPr>
          <w:w w:val="105"/>
          <w:sz w:val="24"/>
          <w:szCs w:val="24"/>
        </w:rPr>
        <w:t xml:space="preserve"> </w:t>
      </w:r>
      <w:r w:rsidRPr="003C7F6D">
        <w:rPr>
          <w:w w:val="105"/>
          <w:sz w:val="24"/>
          <w:szCs w:val="24"/>
        </w:rPr>
        <w:t>(Council)</w:t>
      </w:r>
      <w:r w:rsidR="002514B0">
        <w:rPr>
          <w:w w:val="105"/>
          <w:sz w:val="24"/>
          <w:szCs w:val="24"/>
        </w:rPr>
        <w:t xml:space="preserve"> </w:t>
      </w:r>
      <w:r w:rsidRPr="003C7F6D">
        <w:rPr>
          <w:w w:val="105"/>
          <w:sz w:val="24"/>
          <w:szCs w:val="24"/>
        </w:rPr>
        <w:t>in</w:t>
      </w:r>
      <w:r w:rsidR="002514B0">
        <w:rPr>
          <w:w w:val="105"/>
          <w:sz w:val="24"/>
          <w:szCs w:val="24"/>
        </w:rPr>
        <w:t xml:space="preserve"> </w:t>
      </w:r>
      <w:r w:rsidRPr="003C7F6D">
        <w:rPr>
          <w:w w:val="105"/>
          <w:sz w:val="24"/>
          <w:szCs w:val="24"/>
        </w:rPr>
        <w:t>the</w:t>
      </w:r>
      <w:r w:rsidR="002514B0">
        <w:rPr>
          <w:w w:val="105"/>
          <w:sz w:val="24"/>
          <w:szCs w:val="24"/>
        </w:rPr>
        <w:t xml:space="preserve"> </w:t>
      </w:r>
      <w:r w:rsidRPr="003C7F6D">
        <w:rPr>
          <w:w w:val="105"/>
          <w:sz w:val="24"/>
          <w:szCs w:val="24"/>
        </w:rPr>
        <w:t>captioned</w:t>
      </w:r>
      <w:r w:rsidR="002514B0">
        <w:rPr>
          <w:w w:val="105"/>
          <w:sz w:val="24"/>
          <w:szCs w:val="24"/>
        </w:rPr>
        <w:t xml:space="preserve"> </w:t>
      </w:r>
      <w:r w:rsidRPr="003C7F6D">
        <w:rPr>
          <w:w w:val="105"/>
          <w:sz w:val="24"/>
          <w:szCs w:val="24"/>
        </w:rPr>
        <w:t>proceeding.</w:t>
      </w:r>
    </w:p>
    <w:p w14:paraId="01F3EEE3" w14:textId="77777777" w:rsidR="008419F3" w:rsidRPr="003C7F6D" w:rsidRDefault="008419F3" w:rsidP="008419F3">
      <w:pPr>
        <w:pStyle w:val="BodyText"/>
        <w:spacing w:line="240" w:lineRule="auto"/>
        <w:rPr>
          <w:b/>
          <w:szCs w:val="24"/>
        </w:rPr>
      </w:pPr>
    </w:p>
    <w:p w14:paraId="06202DF2" w14:textId="77777777" w:rsidR="008419F3" w:rsidRPr="003C7F6D" w:rsidRDefault="008419F3" w:rsidP="008419F3">
      <w:pPr>
        <w:pStyle w:val="BodyText"/>
        <w:spacing w:line="240" w:lineRule="auto"/>
        <w:rPr>
          <w:b/>
          <w:szCs w:val="24"/>
        </w:rPr>
      </w:pPr>
    </w:p>
    <w:p w14:paraId="1B8F53B9" w14:textId="77777777" w:rsidR="008419F3" w:rsidRPr="003C7F6D" w:rsidRDefault="008419F3" w:rsidP="008419F3">
      <w:pPr>
        <w:pStyle w:val="BodyText"/>
        <w:spacing w:line="240" w:lineRule="auto"/>
        <w:rPr>
          <w:b/>
          <w:szCs w:val="24"/>
        </w:rPr>
      </w:pPr>
    </w:p>
    <w:p w14:paraId="648BB140" w14:textId="77777777" w:rsidR="008419F3" w:rsidRPr="003C7F6D" w:rsidRDefault="008419F3" w:rsidP="008419F3">
      <w:pPr>
        <w:pStyle w:val="BodyText"/>
        <w:spacing w:line="240" w:lineRule="auto"/>
        <w:rPr>
          <w:b/>
          <w:szCs w:val="24"/>
        </w:rPr>
      </w:pPr>
    </w:p>
    <w:p w14:paraId="5E1BCB33" w14:textId="77777777" w:rsidR="008419F3" w:rsidRPr="003C7F6D" w:rsidRDefault="008419F3" w:rsidP="008419F3">
      <w:pPr>
        <w:pStyle w:val="BodyText"/>
        <w:spacing w:line="240" w:lineRule="auto"/>
        <w:rPr>
          <w:b/>
          <w:szCs w:val="24"/>
        </w:rPr>
      </w:pPr>
    </w:p>
    <w:p w14:paraId="6B4F5365" w14:textId="77777777" w:rsidR="008419F3" w:rsidRPr="003C7F6D" w:rsidRDefault="008419F3" w:rsidP="008419F3">
      <w:pPr>
        <w:pStyle w:val="BodyText"/>
        <w:spacing w:line="240" w:lineRule="auto"/>
        <w:rPr>
          <w:b/>
          <w:szCs w:val="24"/>
        </w:rPr>
      </w:pPr>
    </w:p>
    <w:p w14:paraId="5D3F2ACC" w14:textId="459268E2" w:rsidR="008419F3" w:rsidRPr="003C7F6D" w:rsidRDefault="008419F3" w:rsidP="008419F3">
      <w:pPr>
        <w:spacing w:line="240" w:lineRule="auto"/>
        <w:ind w:left="3600" w:firstLine="720"/>
        <w:jc w:val="both"/>
        <w:rPr>
          <w:sz w:val="24"/>
          <w:szCs w:val="24"/>
        </w:rPr>
      </w:pPr>
      <w:r w:rsidRPr="003C7F6D">
        <w:rPr>
          <w:sz w:val="24"/>
          <w:szCs w:val="24"/>
        </w:rPr>
        <w:t>Michael</w:t>
      </w:r>
      <w:r w:rsidR="002514B0">
        <w:rPr>
          <w:sz w:val="24"/>
          <w:szCs w:val="24"/>
        </w:rPr>
        <w:t xml:space="preserve"> </w:t>
      </w:r>
      <w:r w:rsidRPr="003C7F6D">
        <w:rPr>
          <w:sz w:val="24"/>
          <w:szCs w:val="24"/>
        </w:rPr>
        <w:t>W.</w:t>
      </w:r>
      <w:r w:rsidR="002514B0">
        <w:rPr>
          <w:sz w:val="24"/>
          <w:szCs w:val="24"/>
        </w:rPr>
        <w:t xml:space="preserve"> </w:t>
      </w:r>
      <w:r w:rsidRPr="003C7F6D">
        <w:rPr>
          <w:sz w:val="24"/>
          <w:szCs w:val="24"/>
        </w:rPr>
        <w:t>Tifft</w:t>
      </w:r>
    </w:p>
    <w:p w14:paraId="5B59BD88" w14:textId="67393F03" w:rsidR="008419F3" w:rsidRPr="003C7F6D" w:rsidRDefault="008419F3" w:rsidP="008419F3">
      <w:pPr>
        <w:spacing w:line="240" w:lineRule="auto"/>
        <w:ind w:left="3600" w:firstLine="720"/>
        <w:jc w:val="both"/>
        <w:rPr>
          <w:sz w:val="24"/>
          <w:szCs w:val="24"/>
        </w:rPr>
      </w:pPr>
      <w:r w:rsidRPr="003C7F6D">
        <w:rPr>
          <w:sz w:val="24"/>
          <w:szCs w:val="24"/>
        </w:rPr>
        <w:t>Law</w:t>
      </w:r>
      <w:r w:rsidR="002514B0">
        <w:rPr>
          <w:sz w:val="24"/>
          <w:szCs w:val="24"/>
        </w:rPr>
        <w:t xml:space="preserve"> </w:t>
      </w:r>
      <w:r w:rsidRPr="003C7F6D">
        <w:rPr>
          <w:sz w:val="24"/>
          <w:szCs w:val="24"/>
        </w:rPr>
        <w:t>Office</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Michael</w:t>
      </w:r>
      <w:r w:rsidR="002514B0">
        <w:rPr>
          <w:sz w:val="24"/>
          <w:szCs w:val="24"/>
        </w:rPr>
        <w:t xml:space="preserve"> </w:t>
      </w:r>
      <w:r w:rsidRPr="003C7F6D">
        <w:rPr>
          <w:sz w:val="24"/>
          <w:szCs w:val="24"/>
        </w:rPr>
        <w:t>W.</w:t>
      </w:r>
      <w:r w:rsidR="002514B0">
        <w:rPr>
          <w:sz w:val="24"/>
          <w:szCs w:val="24"/>
        </w:rPr>
        <w:t xml:space="preserve"> </w:t>
      </w:r>
      <w:r w:rsidRPr="003C7F6D">
        <w:rPr>
          <w:sz w:val="24"/>
          <w:szCs w:val="24"/>
        </w:rPr>
        <w:t>Tifft</w:t>
      </w:r>
    </w:p>
    <w:p w14:paraId="1CC8FA0D" w14:textId="43A00707" w:rsidR="008419F3" w:rsidRPr="003C7F6D" w:rsidRDefault="008419F3" w:rsidP="008419F3">
      <w:pPr>
        <w:spacing w:line="240" w:lineRule="auto"/>
        <w:ind w:left="3600" w:firstLine="720"/>
        <w:jc w:val="both"/>
        <w:rPr>
          <w:sz w:val="24"/>
          <w:szCs w:val="24"/>
        </w:rPr>
      </w:pPr>
      <w:r w:rsidRPr="003C7F6D">
        <w:rPr>
          <w:sz w:val="24"/>
          <w:szCs w:val="24"/>
        </w:rPr>
        <w:t>710</w:t>
      </w:r>
      <w:r w:rsidR="002514B0">
        <w:rPr>
          <w:sz w:val="24"/>
          <w:szCs w:val="24"/>
        </w:rPr>
        <w:t xml:space="preserve"> </w:t>
      </w:r>
      <w:r w:rsidRPr="003C7F6D">
        <w:rPr>
          <w:sz w:val="24"/>
          <w:szCs w:val="24"/>
        </w:rPr>
        <w:t>Carondelet</w:t>
      </w:r>
      <w:r w:rsidR="002514B0">
        <w:rPr>
          <w:sz w:val="24"/>
          <w:szCs w:val="24"/>
        </w:rPr>
        <w:t xml:space="preserve"> </w:t>
      </w:r>
      <w:r w:rsidRPr="003C7F6D">
        <w:rPr>
          <w:sz w:val="24"/>
          <w:szCs w:val="24"/>
        </w:rPr>
        <w:t>Street</w:t>
      </w:r>
    </w:p>
    <w:p w14:paraId="652D90EC" w14:textId="7F7F331C" w:rsidR="008419F3" w:rsidRPr="003C7F6D" w:rsidRDefault="008419F3" w:rsidP="008419F3">
      <w:pPr>
        <w:spacing w:line="240" w:lineRule="auto"/>
        <w:ind w:left="3600" w:firstLine="720"/>
        <w:jc w:val="both"/>
        <w:rPr>
          <w:sz w:val="24"/>
          <w:szCs w:val="24"/>
        </w:rPr>
      </w:pPr>
      <w:r w:rsidRPr="003C7F6D">
        <w:rPr>
          <w:sz w:val="24"/>
          <w:szCs w:val="24"/>
        </w:rPr>
        <w:t>New</w:t>
      </w:r>
      <w:r w:rsidR="002514B0">
        <w:rPr>
          <w:sz w:val="24"/>
          <w:szCs w:val="24"/>
        </w:rPr>
        <w:t xml:space="preserve"> </w:t>
      </w:r>
      <w:r w:rsidRPr="003C7F6D">
        <w:rPr>
          <w:sz w:val="24"/>
          <w:szCs w:val="24"/>
        </w:rPr>
        <w:t>Orleans,</w:t>
      </w:r>
      <w:r w:rsidR="002514B0">
        <w:rPr>
          <w:sz w:val="24"/>
          <w:szCs w:val="24"/>
        </w:rPr>
        <w:t xml:space="preserve"> </w:t>
      </w:r>
      <w:r w:rsidRPr="003C7F6D">
        <w:rPr>
          <w:sz w:val="24"/>
          <w:szCs w:val="24"/>
        </w:rPr>
        <w:t>LA</w:t>
      </w:r>
      <w:r w:rsidR="002514B0">
        <w:rPr>
          <w:sz w:val="24"/>
          <w:szCs w:val="24"/>
        </w:rPr>
        <w:t xml:space="preserve"> </w:t>
      </w:r>
      <w:r w:rsidRPr="003C7F6D">
        <w:rPr>
          <w:sz w:val="24"/>
          <w:szCs w:val="24"/>
        </w:rPr>
        <w:t>70130</w:t>
      </w:r>
    </w:p>
    <w:p w14:paraId="201DA386" w14:textId="0B86697E" w:rsidR="008419F3" w:rsidRPr="003C7F6D" w:rsidRDefault="008419F3" w:rsidP="008419F3">
      <w:pPr>
        <w:spacing w:line="240" w:lineRule="auto"/>
        <w:ind w:left="3600" w:firstLine="720"/>
        <w:jc w:val="both"/>
        <w:rPr>
          <w:sz w:val="24"/>
          <w:szCs w:val="24"/>
        </w:rPr>
      </w:pPr>
      <w:r w:rsidRPr="003C7F6D">
        <w:rPr>
          <w:sz w:val="24"/>
          <w:szCs w:val="24"/>
        </w:rPr>
        <w:t>(504)</w:t>
      </w:r>
      <w:r w:rsidR="002514B0">
        <w:rPr>
          <w:sz w:val="24"/>
          <w:szCs w:val="24"/>
        </w:rPr>
        <w:t xml:space="preserve"> </w:t>
      </w:r>
      <w:r w:rsidRPr="003C7F6D">
        <w:rPr>
          <w:sz w:val="24"/>
          <w:szCs w:val="24"/>
        </w:rPr>
        <w:t>581-4334</w:t>
      </w:r>
    </w:p>
    <w:p w14:paraId="2C1713D6" w14:textId="250F8F20" w:rsidR="008419F3" w:rsidRPr="003C7F6D" w:rsidRDefault="008419F3" w:rsidP="008419F3">
      <w:pPr>
        <w:spacing w:before="2" w:line="240" w:lineRule="auto"/>
        <w:ind w:left="3600" w:firstLine="720"/>
        <w:jc w:val="both"/>
        <w:rPr>
          <w:bCs/>
          <w:i/>
          <w:iCs/>
          <w:w w:val="105"/>
          <w:sz w:val="24"/>
          <w:szCs w:val="24"/>
        </w:rPr>
      </w:pPr>
      <w:r w:rsidRPr="003C7F6D">
        <w:rPr>
          <w:i/>
          <w:sz w:val="24"/>
          <w:szCs w:val="24"/>
        </w:rPr>
        <w:t>Attorney</w:t>
      </w:r>
      <w:r w:rsidR="002514B0">
        <w:rPr>
          <w:i/>
          <w:sz w:val="24"/>
          <w:szCs w:val="24"/>
        </w:rPr>
        <w:t xml:space="preserve"> </w:t>
      </w:r>
      <w:r w:rsidRPr="003C7F6D">
        <w:rPr>
          <w:i/>
          <w:sz w:val="24"/>
          <w:szCs w:val="24"/>
        </w:rPr>
        <w:t>for</w:t>
      </w:r>
      <w:r w:rsidR="002514B0">
        <w:rPr>
          <w:i/>
          <w:sz w:val="24"/>
          <w:szCs w:val="24"/>
        </w:rPr>
        <w:t xml:space="preserve"> </w:t>
      </w:r>
      <w:r w:rsidRPr="003C7F6D">
        <w:rPr>
          <w:bCs/>
          <w:i/>
          <w:iCs/>
          <w:w w:val="105"/>
          <w:sz w:val="24"/>
          <w:szCs w:val="24"/>
        </w:rPr>
        <w:t>Building</w:t>
      </w:r>
      <w:r w:rsidR="002514B0">
        <w:rPr>
          <w:bCs/>
          <w:i/>
          <w:iCs/>
          <w:w w:val="105"/>
          <w:sz w:val="24"/>
          <w:szCs w:val="24"/>
        </w:rPr>
        <w:t xml:space="preserve"> </w:t>
      </w:r>
      <w:r w:rsidRPr="003C7F6D">
        <w:rPr>
          <w:bCs/>
          <w:i/>
          <w:iCs/>
          <w:w w:val="105"/>
          <w:sz w:val="24"/>
          <w:szCs w:val="24"/>
        </w:rPr>
        <w:t>Science</w:t>
      </w:r>
      <w:r w:rsidR="002514B0">
        <w:rPr>
          <w:bCs/>
          <w:i/>
          <w:iCs/>
          <w:w w:val="105"/>
          <w:sz w:val="24"/>
          <w:szCs w:val="24"/>
        </w:rPr>
        <w:t xml:space="preserve"> </w:t>
      </w:r>
      <w:r w:rsidRPr="003C7F6D">
        <w:rPr>
          <w:bCs/>
          <w:i/>
          <w:iCs/>
          <w:w w:val="105"/>
          <w:sz w:val="24"/>
          <w:szCs w:val="24"/>
        </w:rPr>
        <w:t>Innovators</w:t>
      </w:r>
    </w:p>
    <w:p w14:paraId="0C60CF83" w14:textId="77777777" w:rsidR="008419F3" w:rsidRPr="003C7F6D" w:rsidRDefault="008419F3" w:rsidP="008419F3">
      <w:pPr>
        <w:spacing w:before="2" w:line="240" w:lineRule="auto"/>
        <w:ind w:left="3600" w:firstLine="720"/>
        <w:jc w:val="both"/>
        <w:rPr>
          <w:bCs/>
          <w:i/>
          <w:iCs/>
          <w:w w:val="105"/>
          <w:sz w:val="24"/>
          <w:szCs w:val="24"/>
        </w:rPr>
      </w:pPr>
    </w:p>
    <w:p w14:paraId="7905951A" w14:textId="68445F54" w:rsidR="008419F3" w:rsidRPr="003C7F6D" w:rsidRDefault="008419F3" w:rsidP="008419F3">
      <w:pPr>
        <w:spacing w:before="2" w:line="240" w:lineRule="auto"/>
        <w:ind w:left="3600" w:firstLine="720"/>
        <w:jc w:val="both"/>
        <w:rPr>
          <w:i/>
          <w:sz w:val="24"/>
          <w:szCs w:val="24"/>
        </w:rPr>
      </w:pPr>
      <w:r w:rsidRPr="003C7F6D">
        <w:rPr>
          <w:i/>
          <w:sz w:val="24"/>
          <w:szCs w:val="24"/>
        </w:rPr>
        <w:t>Authors</w:t>
      </w:r>
      <w:r w:rsidR="002514B0">
        <w:rPr>
          <w:i/>
          <w:sz w:val="24"/>
          <w:szCs w:val="24"/>
        </w:rPr>
        <w:t xml:space="preserve"> </w:t>
      </w:r>
      <w:r w:rsidRPr="003C7F6D">
        <w:rPr>
          <w:i/>
          <w:sz w:val="24"/>
          <w:szCs w:val="24"/>
        </w:rPr>
        <w:t>and</w:t>
      </w:r>
      <w:r w:rsidR="002514B0">
        <w:rPr>
          <w:i/>
          <w:sz w:val="24"/>
          <w:szCs w:val="24"/>
        </w:rPr>
        <w:t xml:space="preserve"> </w:t>
      </w:r>
      <w:r w:rsidRPr="003C7F6D">
        <w:rPr>
          <w:i/>
          <w:sz w:val="24"/>
          <w:szCs w:val="24"/>
        </w:rPr>
        <w:t>major</w:t>
      </w:r>
      <w:r w:rsidR="002514B0">
        <w:rPr>
          <w:i/>
          <w:sz w:val="24"/>
          <w:szCs w:val="24"/>
        </w:rPr>
        <w:t xml:space="preserve"> </w:t>
      </w:r>
      <w:r w:rsidRPr="003C7F6D">
        <w:rPr>
          <w:i/>
          <w:sz w:val="24"/>
          <w:szCs w:val="24"/>
        </w:rPr>
        <w:t>contributors</w:t>
      </w:r>
      <w:r w:rsidR="002514B0">
        <w:rPr>
          <w:i/>
          <w:sz w:val="24"/>
          <w:szCs w:val="24"/>
        </w:rPr>
        <w:t xml:space="preserve"> </w:t>
      </w:r>
      <w:r w:rsidRPr="003C7F6D">
        <w:rPr>
          <w:i/>
          <w:sz w:val="24"/>
          <w:szCs w:val="24"/>
        </w:rPr>
        <w:t>include:</w:t>
      </w:r>
      <w:r w:rsidR="002514B0">
        <w:rPr>
          <w:i/>
          <w:sz w:val="24"/>
          <w:szCs w:val="24"/>
        </w:rPr>
        <w:t xml:space="preserve"> </w:t>
      </w:r>
    </w:p>
    <w:p w14:paraId="6635EF58" w14:textId="755470E0" w:rsidR="008419F3" w:rsidRPr="003C7F6D" w:rsidRDefault="008419F3" w:rsidP="008419F3">
      <w:pPr>
        <w:spacing w:before="2" w:line="240" w:lineRule="auto"/>
        <w:ind w:left="3600" w:firstLine="900"/>
        <w:jc w:val="both"/>
        <w:rPr>
          <w:iCs/>
          <w:sz w:val="24"/>
          <w:szCs w:val="24"/>
        </w:rPr>
      </w:pPr>
      <w:r w:rsidRPr="003C7F6D">
        <w:rPr>
          <w:iCs/>
          <w:sz w:val="24"/>
          <w:szCs w:val="24"/>
        </w:rPr>
        <w:t>Myron</w:t>
      </w:r>
      <w:r w:rsidR="002514B0">
        <w:rPr>
          <w:iCs/>
          <w:sz w:val="24"/>
          <w:szCs w:val="24"/>
        </w:rPr>
        <w:t xml:space="preserve"> </w:t>
      </w:r>
      <w:r w:rsidRPr="003C7F6D">
        <w:rPr>
          <w:iCs/>
          <w:sz w:val="24"/>
          <w:szCs w:val="24"/>
        </w:rPr>
        <w:t>Katz,</w:t>
      </w:r>
      <w:r w:rsidR="002514B0">
        <w:rPr>
          <w:iCs/>
          <w:sz w:val="24"/>
          <w:szCs w:val="24"/>
        </w:rPr>
        <w:t xml:space="preserve"> </w:t>
      </w:r>
      <w:r w:rsidRPr="003C7F6D">
        <w:rPr>
          <w:iCs/>
          <w:sz w:val="24"/>
          <w:szCs w:val="24"/>
        </w:rPr>
        <w:t>PhD</w:t>
      </w:r>
    </w:p>
    <w:p w14:paraId="3E2BE833" w14:textId="3AC72F1B" w:rsidR="008419F3" w:rsidRPr="003C7F6D" w:rsidRDefault="008419F3" w:rsidP="008419F3">
      <w:pPr>
        <w:spacing w:before="2" w:line="240" w:lineRule="auto"/>
        <w:ind w:left="3600" w:firstLine="900"/>
        <w:jc w:val="both"/>
        <w:rPr>
          <w:iCs/>
          <w:sz w:val="24"/>
          <w:szCs w:val="24"/>
        </w:rPr>
      </w:pPr>
      <w:r w:rsidRPr="003C7F6D">
        <w:rPr>
          <w:iCs/>
          <w:sz w:val="24"/>
          <w:szCs w:val="24"/>
        </w:rPr>
        <w:t>Richard</w:t>
      </w:r>
      <w:r w:rsidR="002514B0">
        <w:rPr>
          <w:iCs/>
          <w:sz w:val="24"/>
          <w:szCs w:val="24"/>
        </w:rPr>
        <w:t xml:space="preserve"> </w:t>
      </w:r>
      <w:r w:rsidRPr="003C7F6D">
        <w:rPr>
          <w:iCs/>
          <w:sz w:val="24"/>
          <w:szCs w:val="24"/>
        </w:rPr>
        <w:t>Troy,</w:t>
      </w:r>
      <w:r w:rsidR="002514B0">
        <w:rPr>
          <w:iCs/>
          <w:sz w:val="24"/>
          <w:szCs w:val="24"/>
        </w:rPr>
        <w:t xml:space="preserve"> </w:t>
      </w:r>
      <w:r w:rsidRPr="003C7F6D">
        <w:rPr>
          <w:iCs/>
          <w:sz w:val="24"/>
          <w:szCs w:val="24"/>
        </w:rPr>
        <w:t>and</w:t>
      </w:r>
    </w:p>
    <w:p w14:paraId="3577AF37" w14:textId="287C9F28" w:rsidR="008419F3" w:rsidRPr="003C7F6D" w:rsidRDefault="008419F3" w:rsidP="008419F3">
      <w:pPr>
        <w:spacing w:before="2" w:line="240" w:lineRule="auto"/>
        <w:ind w:left="3600" w:firstLine="900"/>
        <w:jc w:val="both"/>
        <w:rPr>
          <w:i/>
          <w:sz w:val="24"/>
          <w:szCs w:val="24"/>
        </w:rPr>
      </w:pPr>
      <w:r w:rsidRPr="003C7F6D">
        <w:rPr>
          <w:iCs/>
          <w:sz w:val="24"/>
          <w:szCs w:val="24"/>
        </w:rPr>
        <w:t>Richard</w:t>
      </w:r>
      <w:r w:rsidR="002514B0">
        <w:rPr>
          <w:iCs/>
          <w:sz w:val="24"/>
          <w:szCs w:val="24"/>
        </w:rPr>
        <w:t xml:space="preserve"> </w:t>
      </w:r>
      <w:r w:rsidRPr="003C7F6D">
        <w:rPr>
          <w:iCs/>
          <w:sz w:val="24"/>
          <w:szCs w:val="24"/>
        </w:rPr>
        <w:t>Dupont,</w:t>
      </w:r>
      <w:r w:rsidR="002514B0">
        <w:rPr>
          <w:iCs/>
          <w:sz w:val="24"/>
          <w:szCs w:val="24"/>
        </w:rPr>
        <w:t xml:space="preserve"> </w:t>
      </w:r>
      <w:r w:rsidRPr="003C7F6D">
        <w:rPr>
          <w:iCs/>
          <w:sz w:val="24"/>
          <w:szCs w:val="24"/>
        </w:rPr>
        <w:t>P.E</w:t>
      </w:r>
      <w:r w:rsidRPr="003C7F6D">
        <w:rPr>
          <w:i/>
          <w:sz w:val="24"/>
          <w:szCs w:val="24"/>
        </w:rPr>
        <w:t>.</w:t>
      </w:r>
    </w:p>
    <w:p w14:paraId="4B899DC8" w14:textId="082EFB5B" w:rsidR="008419F3" w:rsidRPr="003C7F6D" w:rsidRDefault="008419F3" w:rsidP="008419F3">
      <w:pPr>
        <w:spacing w:before="2" w:line="240" w:lineRule="auto"/>
        <w:ind w:left="3600" w:firstLine="720"/>
        <w:jc w:val="both"/>
        <w:rPr>
          <w:i/>
          <w:sz w:val="24"/>
          <w:szCs w:val="24"/>
        </w:rPr>
      </w:pPr>
      <w:r w:rsidRPr="003C7F6D">
        <w:rPr>
          <w:i/>
          <w:sz w:val="24"/>
          <w:szCs w:val="24"/>
        </w:rPr>
        <w:t>Editors</w:t>
      </w:r>
      <w:r w:rsidR="002514B0">
        <w:rPr>
          <w:i/>
          <w:sz w:val="24"/>
          <w:szCs w:val="24"/>
        </w:rPr>
        <w:t xml:space="preserve"> </w:t>
      </w:r>
      <w:r w:rsidRPr="003C7F6D">
        <w:rPr>
          <w:i/>
          <w:sz w:val="24"/>
          <w:szCs w:val="24"/>
        </w:rPr>
        <w:t>and</w:t>
      </w:r>
      <w:r w:rsidR="002514B0">
        <w:rPr>
          <w:i/>
          <w:sz w:val="24"/>
          <w:szCs w:val="24"/>
        </w:rPr>
        <w:t xml:space="preserve"> </w:t>
      </w:r>
      <w:r>
        <w:rPr>
          <w:i/>
          <w:sz w:val="24"/>
          <w:szCs w:val="24"/>
        </w:rPr>
        <w:t>additional</w:t>
      </w:r>
      <w:r w:rsidR="002514B0">
        <w:rPr>
          <w:i/>
          <w:sz w:val="24"/>
          <w:szCs w:val="24"/>
        </w:rPr>
        <w:t xml:space="preserve"> </w:t>
      </w:r>
      <w:r w:rsidRPr="003C7F6D">
        <w:rPr>
          <w:i/>
          <w:sz w:val="24"/>
          <w:szCs w:val="24"/>
        </w:rPr>
        <w:t>contributors</w:t>
      </w:r>
      <w:r w:rsidR="002514B0">
        <w:rPr>
          <w:i/>
          <w:sz w:val="24"/>
          <w:szCs w:val="24"/>
        </w:rPr>
        <w:t xml:space="preserve"> </w:t>
      </w:r>
      <w:r w:rsidRPr="003C7F6D">
        <w:rPr>
          <w:i/>
          <w:sz w:val="24"/>
          <w:szCs w:val="24"/>
        </w:rPr>
        <w:t>include:</w:t>
      </w:r>
    </w:p>
    <w:p w14:paraId="7976E276" w14:textId="796E5CD2" w:rsidR="008419F3" w:rsidRPr="003C7F6D" w:rsidRDefault="008419F3" w:rsidP="008419F3">
      <w:pPr>
        <w:spacing w:before="2" w:line="240" w:lineRule="auto"/>
        <w:ind w:left="3600" w:firstLine="900"/>
        <w:jc w:val="both"/>
        <w:rPr>
          <w:iCs/>
          <w:sz w:val="24"/>
          <w:szCs w:val="24"/>
        </w:rPr>
      </w:pPr>
      <w:r w:rsidRPr="003C7F6D">
        <w:rPr>
          <w:iCs/>
          <w:sz w:val="24"/>
          <w:szCs w:val="24"/>
        </w:rPr>
        <w:t>Cynthia</w:t>
      </w:r>
      <w:r w:rsidR="002514B0">
        <w:rPr>
          <w:iCs/>
          <w:sz w:val="24"/>
          <w:szCs w:val="24"/>
        </w:rPr>
        <w:t xml:space="preserve"> </w:t>
      </w:r>
      <w:r w:rsidRPr="003C7F6D">
        <w:rPr>
          <w:iCs/>
          <w:sz w:val="24"/>
          <w:szCs w:val="24"/>
        </w:rPr>
        <w:t>Schmidt,</w:t>
      </w:r>
      <w:r w:rsidR="002514B0">
        <w:rPr>
          <w:iCs/>
          <w:sz w:val="24"/>
          <w:szCs w:val="24"/>
        </w:rPr>
        <w:t xml:space="preserve"> </w:t>
      </w:r>
      <w:r w:rsidRPr="003C7F6D">
        <w:rPr>
          <w:iCs/>
          <w:sz w:val="24"/>
          <w:szCs w:val="24"/>
        </w:rPr>
        <w:t>Esq.</w:t>
      </w:r>
    </w:p>
    <w:p w14:paraId="42891E7F" w14:textId="255F1348" w:rsidR="008419F3" w:rsidRPr="003C7F6D" w:rsidRDefault="008419F3" w:rsidP="00D25796">
      <w:pPr>
        <w:spacing w:before="2" w:line="240" w:lineRule="auto"/>
        <w:ind w:left="3600" w:firstLine="900"/>
        <w:jc w:val="both"/>
        <w:rPr>
          <w:iCs/>
          <w:sz w:val="24"/>
          <w:szCs w:val="24"/>
        </w:rPr>
      </w:pPr>
      <w:r w:rsidRPr="003C7F6D">
        <w:rPr>
          <w:iCs/>
          <w:sz w:val="24"/>
          <w:szCs w:val="24"/>
        </w:rPr>
        <w:t>Brendan</w:t>
      </w:r>
      <w:r w:rsidR="002514B0">
        <w:rPr>
          <w:iCs/>
          <w:sz w:val="24"/>
          <w:szCs w:val="24"/>
        </w:rPr>
        <w:t xml:space="preserve"> </w:t>
      </w:r>
      <w:r w:rsidRPr="003C7F6D">
        <w:rPr>
          <w:iCs/>
          <w:sz w:val="24"/>
          <w:szCs w:val="24"/>
        </w:rPr>
        <w:t>Moore,</w:t>
      </w:r>
      <w:r w:rsidR="002514B0">
        <w:rPr>
          <w:iCs/>
          <w:sz w:val="24"/>
          <w:szCs w:val="24"/>
        </w:rPr>
        <w:t xml:space="preserve"> </w:t>
      </w:r>
      <w:r w:rsidRPr="003C7F6D">
        <w:rPr>
          <w:iCs/>
          <w:sz w:val="24"/>
          <w:szCs w:val="24"/>
        </w:rPr>
        <w:t>M.</w:t>
      </w:r>
      <w:r w:rsidR="00D25796">
        <w:rPr>
          <w:iCs/>
          <w:sz w:val="24"/>
          <w:szCs w:val="24"/>
        </w:rPr>
        <w:t>A.,</w:t>
      </w:r>
      <w:r w:rsidR="002514B0">
        <w:rPr>
          <w:iCs/>
          <w:sz w:val="24"/>
          <w:szCs w:val="24"/>
        </w:rPr>
        <w:t xml:space="preserve"> </w:t>
      </w:r>
      <w:r w:rsidR="00D25796">
        <w:rPr>
          <w:iCs/>
          <w:sz w:val="24"/>
          <w:szCs w:val="24"/>
        </w:rPr>
        <w:t>M.P.S.</w:t>
      </w:r>
      <w:r w:rsidR="002514B0">
        <w:rPr>
          <w:iCs/>
          <w:sz w:val="24"/>
          <w:szCs w:val="24"/>
        </w:rPr>
        <w:t xml:space="preserve"> </w:t>
      </w:r>
      <w:r w:rsidRPr="003C7F6D">
        <w:rPr>
          <w:iCs/>
          <w:sz w:val="24"/>
          <w:szCs w:val="24"/>
        </w:rPr>
        <w:t>and</w:t>
      </w:r>
    </w:p>
    <w:p w14:paraId="2163BFD0" w14:textId="28B0A953" w:rsidR="008419F3" w:rsidRPr="003C7F6D" w:rsidRDefault="008304EE" w:rsidP="008419F3">
      <w:pPr>
        <w:spacing w:before="2" w:line="240" w:lineRule="auto"/>
        <w:ind w:left="3600" w:firstLine="900"/>
        <w:jc w:val="both"/>
        <w:rPr>
          <w:sz w:val="24"/>
          <w:szCs w:val="24"/>
        </w:rPr>
      </w:pPr>
      <w:r>
        <w:rPr>
          <w:iCs/>
          <w:sz w:val="24"/>
          <w:szCs w:val="24"/>
        </w:rPr>
        <w:t>Sharon Katz, M</w:t>
      </w:r>
      <w:r w:rsidR="003B5CCB">
        <w:rPr>
          <w:iCs/>
          <w:sz w:val="24"/>
          <w:szCs w:val="24"/>
        </w:rPr>
        <w:t>.</w:t>
      </w:r>
      <w:r>
        <w:rPr>
          <w:iCs/>
          <w:sz w:val="24"/>
          <w:szCs w:val="24"/>
        </w:rPr>
        <w:t>A</w:t>
      </w:r>
      <w:r w:rsidR="003B5CCB">
        <w:rPr>
          <w:iCs/>
          <w:sz w:val="24"/>
          <w:szCs w:val="24"/>
        </w:rPr>
        <w:t>.</w:t>
      </w:r>
    </w:p>
    <w:p w14:paraId="0AC24198" w14:textId="77777777" w:rsidR="008419F3" w:rsidRPr="003C7F6D" w:rsidRDefault="008419F3" w:rsidP="008419F3">
      <w:pPr>
        <w:jc w:val="both"/>
        <w:rPr>
          <w:sz w:val="24"/>
          <w:szCs w:val="24"/>
        </w:rPr>
        <w:sectPr w:rsidR="008419F3" w:rsidRPr="003C7F6D" w:rsidSect="00C543E4">
          <w:headerReference w:type="default" r:id="rId8"/>
          <w:footerReference w:type="default" r:id="rId9"/>
          <w:type w:val="continuous"/>
          <w:pgSz w:w="12290" w:h="15840"/>
          <w:pgMar w:top="1440" w:right="1080" w:bottom="1440" w:left="1080" w:header="720" w:footer="720" w:gutter="0"/>
          <w:cols w:space="720"/>
        </w:sectPr>
      </w:pPr>
    </w:p>
    <w:p w14:paraId="1C92C397" w14:textId="0CED6E93" w:rsidR="004D1A33" w:rsidRDefault="008419F3">
      <w:pPr>
        <w:pStyle w:val="TOC1"/>
        <w:tabs>
          <w:tab w:val="right" w:leader="dot" w:pos="10070"/>
        </w:tabs>
        <w:rPr>
          <w:rFonts w:asciiTheme="minorHAnsi" w:eastAsiaTheme="minorEastAsia" w:hAnsiTheme="minorHAnsi" w:cstheme="minorBidi"/>
          <w:noProof/>
          <w:sz w:val="22"/>
          <w:szCs w:val="22"/>
        </w:rPr>
      </w:pPr>
      <w:r w:rsidRPr="003C7F6D">
        <w:rPr>
          <w:szCs w:val="24"/>
        </w:rPr>
        <w:lastRenderedPageBreak/>
        <w:fldChar w:fldCharType="begin"/>
      </w:r>
      <w:r w:rsidRPr="003C7F6D">
        <w:rPr>
          <w:szCs w:val="24"/>
        </w:rPr>
        <w:instrText xml:space="preserve"> TOC \o "1-2" \h \z \u </w:instrText>
      </w:r>
      <w:r w:rsidRPr="003C7F6D">
        <w:rPr>
          <w:szCs w:val="24"/>
        </w:rPr>
        <w:fldChar w:fldCharType="separate"/>
      </w:r>
      <w:hyperlink w:anchor="_Toc16317716" w:history="1">
        <w:r w:rsidR="004D1A33" w:rsidRPr="00A500B2">
          <w:rPr>
            <w:rStyle w:val="Hyperlink"/>
            <w:noProof/>
          </w:rPr>
          <w:t>INTRODUCTION</w:t>
        </w:r>
        <w:r w:rsidR="004D1A33">
          <w:rPr>
            <w:noProof/>
            <w:webHidden/>
          </w:rPr>
          <w:tab/>
        </w:r>
        <w:r w:rsidR="004D1A33">
          <w:rPr>
            <w:noProof/>
            <w:webHidden/>
          </w:rPr>
          <w:fldChar w:fldCharType="begin"/>
        </w:r>
        <w:r w:rsidR="004D1A33">
          <w:rPr>
            <w:noProof/>
            <w:webHidden/>
          </w:rPr>
          <w:instrText xml:space="preserve"> PAGEREF _Toc16317716 \h </w:instrText>
        </w:r>
        <w:r w:rsidR="004D1A33">
          <w:rPr>
            <w:noProof/>
            <w:webHidden/>
          </w:rPr>
        </w:r>
        <w:r w:rsidR="004D1A33">
          <w:rPr>
            <w:noProof/>
            <w:webHidden/>
          </w:rPr>
          <w:fldChar w:fldCharType="separate"/>
        </w:r>
        <w:r w:rsidR="004D1A33">
          <w:rPr>
            <w:noProof/>
            <w:webHidden/>
          </w:rPr>
          <w:t>4</w:t>
        </w:r>
        <w:r w:rsidR="004D1A33">
          <w:rPr>
            <w:noProof/>
            <w:webHidden/>
          </w:rPr>
          <w:fldChar w:fldCharType="end"/>
        </w:r>
      </w:hyperlink>
    </w:p>
    <w:p w14:paraId="45662FE7" w14:textId="43E0F2A9"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17" w:history="1">
        <w:r w:rsidR="004D1A33" w:rsidRPr="00A500B2">
          <w:rPr>
            <w:rStyle w:val="Hyperlink"/>
            <w:noProof/>
          </w:rPr>
          <w:t>Merits of CLEP: from Customer’s, Rate Case, then Earth’s perspectives</w:t>
        </w:r>
        <w:r w:rsidR="004D1A33">
          <w:rPr>
            <w:noProof/>
            <w:webHidden/>
          </w:rPr>
          <w:tab/>
        </w:r>
        <w:r w:rsidR="004D1A33">
          <w:rPr>
            <w:noProof/>
            <w:webHidden/>
          </w:rPr>
          <w:fldChar w:fldCharType="begin"/>
        </w:r>
        <w:r w:rsidR="004D1A33">
          <w:rPr>
            <w:noProof/>
            <w:webHidden/>
          </w:rPr>
          <w:instrText xml:space="preserve"> PAGEREF _Toc16317717 \h </w:instrText>
        </w:r>
        <w:r w:rsidR="004D1A33">
          <w:rPr>
            <w:noProof/>
            <w:webHidden/>
          </w:rPr>
        </w:r>
        <w:r w:rsidR="004D1A33">
          <w:rPr>
            <w:noProof/>
            <w:webHidden/>
          </w:rPr>
          <w:fldChar w:fldCharType="separate"/>
        </w:r>
        <w:r w:rsidR="004D1A33">
          <w:rPr>
            <w:noProof/>
            <w:webHidden/>
          </w:rPr>
          <w:t>7</w:t>
        </w:r>
        <w:r w:rsidR="004D1A33">
          <w:rPr>
            <w:noProof/>
            <w:webHidden/>
          </w:rPr>
          <w:fldChar w:fldCharType="end"/>
        </w:r>
      </w:hyperlink>
    </w:p>
    <w:p w14:paraId="7C4885A9" w14:textId="595609F5" w:rsidR="004D1A33" w:rsidRDefault="00663379">
      <w:pPr>
        <w:pStyle w:val="TOC2"/>
        <w:tabs>
          <w:tab w:val="right" w:leader="dot" w:pos="10070"/>
        </w:tabs>
        <w:rPr>
          <w:rFonts w:asciiTheme="minorHAnsi" w:eastAsiaTheme="minorEastAsia" w:hAnsiTheme="minorHAnsi" w:cstheme="minorBidi"/>
          <w:noProof/>
          <w:szCs w:val="22"/>
        </w:rPr>
      </w:pPr>
      <w:hyperlink w:anchor="_Toc16317718" w:history="1">
        <w:r w:rsidR="004D1A33" w:rsidRPr="00A500B2">
          <w:rPr>
            <w:rStyle w:val="Hyperlink"/>
            <w:noProof/>
          </w:rPr>
          <w:t>CLEP lowers Customers’ economic, societal and environmental costs.</w:t>
        </w:r>
        <w:r w:rsidR="004D1A33">
          <w:rPr>
            <w:noProof/>
            <w:webHidden/>
          </w:rPr>
          <w:tab/>
        </w:r>
        <w:r w:rsidR="004D1A33">
          <w:rPr>
            <w:noProof/>
            <w:webHidden/>
          </w:rPr>
          <w:fldChar w:fldCharType="begin"/>
        </w:r>
        <w:r w:rsidR="004D1A33">
          <w:rPr>
            <w:noProof/>
            <w:webHidden/>
          </w:rPr>
          <w:instrText xml:space="preserve"> PAGEREF _Toc16317718 \h </w:instrText>
        </w:r>
        <w:r w:rsidR="004D1A33">
          <w:rPr>
            <w:noProof/>
            <w:webHidden/>
          </w:rPr>
        </w:r>
        <w:r w:rsidR="004D1A33">
          <w:rPr>
            <w:noProof/>
            <w:webHidden/>
          </w:rPr>
          <w:fldChar w:fldCharType="separate"/>
        </w:r>
        <w:r w:rsidR="004D1A33">
          <w:rPr>
            <w:noProof/>
            <w:webHidden/>
          </w:rPr>
          <w:t>7</w:t>
        </w:r>
        <w:r w:rsidR="004D1A33">
          <w:rPr>
            <w:noProof/>
            <w:webHidden/>
          </w:rPr>
          <w:fldChar w:fldCharType="end"/>
        </w:r>
      </w:hyperlink>
    </w:p>
    <w:p w14:paraId="053C8EF2" w14:textId="75523DF4" w:rsidR="004D1A33" w:rsidRDefault="00663379">
      <w:pPr>
        <w:pStyle w:val="TOC2"/>
        <w:tabs>
          <w:tab w:val="right" w:leader="dot" w:pos="10070"/>
        </w:tabs>
        <w:rPr>
          <w:rFonts w:asciiTheme="minorHAnsi" w:eastAsiaTheme="minorEastAsia" w:hAnsiTheme="minorHAnsi" w:cstheme="minorBidi"/>
          <w:noProof/>
          <w:szCs w:val="22"/>
        </w:rPr>
      </w:pPr>
      <w:hyperlink w:anchor="_Toc16317719" w:history="1">
        <w:r w:rsidR="004D1A33" w:rsidRPr="00A500B2">
          <w:rPr>
            <w:rStyle w:val="Hyperlink"/>
            <w:noProof/>
          </w:rPr>
          <w:t>CLEP best matches the needed transition from old-school to modern Rate Making.</w:t>
        </w:r>
        <w:r w:rsidR="004D1A33">
          <w:rPr>
            <w:noProof/>
            <w:webHidden/>
          </w:rPr>
          <w:tab/>
        </w:r>
        <w:r w:rsidR="004D1A33">
          <w:rPr>
            <w:noProof/>
            <w:webHidden/>
          </w:rPr>
          <w:fldChar w:fldCharType="begin"/>
        </w:r>
        <w:r w:rsidR="004D1A33">
          <w:rPr>
            <w:noProof/>
            <w:webHidden/>
          </w:rPr>
          <w:instrText xml:space="preserve"> PAGEREF _Toc16317719 \h </w:instrText>
        </w:r>
        <w:r w:rsidR="004D1A33">
          <w:rPr>
            <w:noProof/>
            <w:webHidden/>
          </w:rPr>
        </w:r>
        <w:r w:rsidR="004D1A33">
          <w:rPr>
            <w:noProof/>
            <w:webHidden/>
          </w:rPr>
          <w:fldChar w:fldCharType="separate"/>
        </w:r>
        <w:r w:rsidR="004D1A33">
          <w:rPr>
            <w:noProof/>
            <w:webHidden/>
          </w:rPr>
          <w:t>7</w:t>
        </w:r>
        <w:r w:rsidR="004D1A33">
          <w:rPr>
            <w:noProof/>
            <w:webHidden/>
          </w:rPr>
          <w:fldChar w:fldCharType="end"/>
        </w:r>
      </w:hyperlink>
    </w:p>
    <w:p w14:paraId="7F4498C6" w14:textId="560EADE0" w:rsidR="004D1A33" w:rsidRDefault="00663379">
      <w:pPr>
        <w:pStyle w:val="TOC2"/>
        <w:tabs>
          <w:tab w:val="right" w:leader="dot" w:pos="10070"/>
        </w:tabs>
        <w:rPr>
          <w:rFonts w:asciiTheme="minorHAnsi" w:eastAsiaTheme="minorEastAsia" w:hAnsiTheme="minorHAnsi" w:cstheme="minorBidi"/>
          <w:noProof/>
          <w:szCs w:val="22"/>
        </w:rPr>
      </w:pPr>
      <w:hyperlink w:anchor="_Toc16317720" w:history="1">
        <w:r w:rsidR="004D1A33" w:rsidRPr="00A500B2">
          <w:rPr>
            <w:rStyle w:val="Hyperlink"/>
            <w:noProof/>
          </w:rPr>
          <w:t>CLEP provides a rational and uncompromising approach to substantially help ameliorate the Global Warming and Sea Level Rise problem.</w:t>
        </w:r>
        <w:r w:rsidR="004D1A33">
          <w:rPr>
            <w:noProof/>
            <w:webHidden/>
          </w:rPr>
          <w:tab/>
        </w:r>
        <w:r w:rsidR="004D1A33">
          <w:rPr>
            <w:noProof/>
            <w:webHidden/>
          </w:rPr>
          <w:fldChar w:fldCharType="begin"/>
        </w:r>
        <w:r w:rsidR="004D1A33">
          <w:rPr>
            <w:noProof/>
            <w:webHidden/>
          </w:rPr>
          <w:instrText xml:space="preserve"> PAGEREF _Toc16317720 \h </w:instrText>
        </w:r>
        <w:r w:rsidR="004D1A33">
          <w:rPr>
            <w:noProof/>
            <w:webHidden/>
          </w:rPr>
        </w:r>
        <w:r w:rsidR="004D1A33">
          <w:rPr>
            <w:noProof/>
            <w:webHidden/>
          </w:rPr>
          <w:fldChar w:fldCharType="separate"/>
        </w:r>
        <w:r w:rsidR="004D1A33">
          <w:rPr>
            <w:noProof/>
            <w:webHidden/>
          </w:rPr>
          <w:t>7</w:t>
        </w:r>
        <w:r w:rsidR="004D1A33">
          <w:rPr>
            <w:noProof/>
            <w:webHidden/>
          </w:rPr>
          <w:fldChar w:fldCharType="end"/>
        </w:r>
      </w:hyperlink>
    </w:p>
    <w:p w14:paraId="05A5F359" w14:textId="2AE23E41"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21" w:history="1">
        <w:r w:rsidR="004D1A33" w:rsidRPr="00A500B2">
          <w:rPr>
            <w:rStyle w:val="Hyperlink"/>
            <w:noProof/>
            <w:w w:val="105"/>
          </w:rPr>
          <w:t xml:space="preserve">The Council should appoint a </w:t>
        </w:r>
        <w:r w:rsidR="004D1A33" w:rsidRPr="00A500B2">
          <w:rPr>
            <w:rStyle w:val="Hyperlink"/>
            <w:i/>
            <w:iCs/>
            <w:noProof/>
          </w:rPr>
          <w:t xml:space="preserve">Load Flexibility and Time-of-Use Rate-Design </w:t>
        </w:r>
        <w:r w:rsidR="004D1A33" w:rsidRPr="00A500B2">
          <w:rPr>
            <w:rStyle w:val="Hyperlink"/>
            <w:i/>
            <w:iCs/>
            <w:noProof/>
            <w:w w:val="105"/>
          </w:rPr>
          <w:t>Working Group</w:t>
        </w:r>
        <w:r w:rsidR="004D1A33">
          <w:rPr>
            <w:noProof/>
            <w:webHidden/>
          </w:rPr>
          <w:tab/>
        </w:r>
        <w:r w:rsidR="004D1A33">
          <w:rPr>
            <w:noProof/>
            <w:webHidden/>
          </w:rPr>
          <w:fldChar w:fldCharType="begin"/>
        </w:r>
        <w:r w:rsidR="004D1A33">
          <w:rPr>
            <w:noProof/>
            <w:webHidden/>
          </w:rPr>
          <w:instrText xml:space="preserve"> PAGEREF _Toc16317721 \h </w:instrText>
        </w:r>
        <w:r w:rsidR="004D1A33">
          <w:rPr>
            <w:noProof/>
            <w:webHidden/>
          </w:rPr>
        </w:r>
        <w:r w:rsidR="004D1A33">
          <w:rPr>
            <w:noProof/>
            <w:webHidden/>
          </w:rPr>
          <w:fldChar w:fldCharType="separate"/>
        </w:r>
        <w:r w:rsidR="004D1A33">
          <w:rPr>
            <w:noProof/>
            <w:webHidden/>
          </w:rPr>
          <w:t>8</w:t>
        </w:r>
        <w:r w:rsidR="004D1A33">
          <w:rPr>
            <w:noProof/>
            <w:webHidden/>
          </w:rPr>
          <w:fldChar w:fldCharType="end"/>
        </w:r>
      </w:hyperlink>
    </w:p>
    <w:p w14:paraId="4A7543EB" w14:textId="5DBC4DF5"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22" w:history="1">
        <w:r w:rsidR="004D1A33" w:rsidRPr="00A500B2">
          <w:rPr>
            <w:rStyle w:val="Hyperlink"/>
            <w:noProof/>
            <w:w w:val="105"/>
          </w:rPr>
          <w:t>DISCUSSION</w:t>
        </w:r>
        <w:r w:rsidR="004D1A33">
          <w:rPr>
            <w:noProof/>
            <w:webHidden/>
          </w:rPr>
          <w:tab/>
        </w:r>
        <w:r w:rsidR="004D1A33">
          <w:rPr>
            <w:noProof/>
            <w:webHidden/>
          </w:rPr>
          <w:fldChar w:fldCharType="begin"/>
        </w:r>
        <w:r w:rsidR="004D1A33">
          <w:rPr>
            <w:noProof/>
            <w:webHidden/>
          </w:rPr>
          <w:instrText xml:space="preserve"> PAGEREF _Toc16317722 \h </w:instrText>
        </w:r>
        <w:r w:rsidR="004D1A33">
          <w:rPr>
            <w:noProof/>
            <w:webHidden/>
          </w:rPr>
        </w:r>
        <w:r w:rsidR="004D1A33">
          <w:rPr>
            <w:noProof/>
            <w:webHidden/>
          </w:rPr>
          <w:fldChar w:fldCharType="separate"/>
        </w:r>
        <w:r w:rsidR="004D1A33">
          <w:rPr>
            <w:noProof/>
            <w:webHidden/>
          </w:rPr>
          <w:t>9</w:t>
        </w:r>
        <w:r w:rsidR="004D1A33">
          <w:rPr>
            <w:noProof/>
            <w:webHidden/>
          </w:rPr>
          <w:fldChar w:fldCharType="end"/>
        </w:r>
      </w:hyperlink>
    </w:p>
    <w:p w14:paraId="0FBB7D1E" w14:textId="2BFA19C7" w:rsidR="004D1A33" w:rsidRDefault="00663379">
      <w:pPr>
        <w:pStyle w:val="TOC2"/>
        <w:tabs>
          <w:tab w:val="right" w:leader="dot" w:pos="10070"/>
        </w:tabs>
        <w:rPr>
          <w:rFonts w:asciiTheme="minorHAnsi" w:eastAsiaTheme="minorEastAsia" w:hAnsiTheme="minorHAnsi" w:cstheme="minorBidi"/>
          <w:noProof/>
          <w:szCs w:val="22"/>
        </w:rPr>
      </w:pPr>
      <w:hyperlink w:anchor="_Toc16317723" w:history="1">
        <w:r w:rsidR="004D1A33" w:rsidRPr="00A500B2">
          <w:rPr>
            <w:rStyle w:val="Hyperlink"/>
            <w:noProof/>
          </w:rPr>
          <w:t xml:space="preserve">CLEP has the potential to more effectively implement the goals of 50 of the Council’s resolutions than </w:t>
        </w:r>
        <w:r w:rsidR="004D1A33" w:rsidRPr="00A500B2">
          <w:rPr>
            <w:rStyle w:val="Hyperlink"/>
            <w:noProof/>
            <w:w w:val="105"/>
          </w:rPr>
          <w:t xml:space="preserve">what has been done </w:t>
        </w:r>
        <w:r w:rsidR="004D1A33" w:rsidRPr="00A500B2">
          <w:rPr>
            <w:rStyle w:val="Hyperlink"/>
            <w:noProof/>
          </w:rPr>
          <w:t>by any other means.</w:t>
        </w:r>
        <w:r w:rsidR="004D1A33">
          <w:rPr>
            <w:noProof/>
            <w:webHidden/>
          </w:rPr>
          <w:tab/>
        </w:r>
        <w:r w:rsidR="004D1A33">
          <w:rPr>
            <w:noProof/>
            <w:webHidden/>
          </w:rPr>
          <w:fldChar w:fldCharType="begin"/>
        </w:r>
        <w:r w:rsidR="004D1A33">
          <w:rPr>
            <w:noProof/>
            <w:webHidden/>
          </w:rPr>
          <w:instrText xml:space="preserve"> PAGEREF _Toc16317723 \h </w:instrText>
        </w:r>
        <w:r w:rsidR="004D1A33">
          <w:rPr>
            <w:noProof/>
            <w:webHidden/>
          </w:rPr>
        </w:r>
        <w:r w:rsidR="004D1A33">
          <w:rPr>
            <w:noProof/>
            <w:webHidden/>
          </w:rPr>
          <w:fldChar w:fldCharType="separate"/>
        </w:r>
        <w:r w:rsidR="004D1A33">
          <w:rPr>
            <w:noProof/>
            <w:webHidden/>
          </w:rPr>
          <w:t>9</w:t>
        </w:r>
        <w:r w:rsidR="004D1A33">
          <w:rPr>
            <w:noProof/>
            <w:webHidden/>
          </w:rPr>
          <w:fldChar w:fldCharType="end"/>
        </w:r>
      </w:hyperlink>
    </w:p>
    <w:p w14:paraId="26BBAD35" w14:textId="49C39408" w:rsidR="004D1A33" w:rsidRDefault="00663379">
      <w:pPr>
        <w:pStyle w:val="TOC2"/>
        <w:tabs>
          <w:tab w:val="right" w:leader="dot" w:pos="10070"/>
        </w:tabs>
        <w:rPr>
          <w:rFonts w:asciiTheme="minorHAnsi" w:eastAsiaTheme="minorEastAsia" w:hAnsiTheme="minorHAnsi" w:cstheme="minorBidi"/>
          <w:noProof/>
          <w:szCs w:val="22"/>
        </w:rPr>
      </w:pPr>
      <w:hyperlink w:anchor="_Toc16317724" w:history="1">
        <w:r w:rsidR="004D1A33" w:rsidRPr="00A500B2">
          <w:rPr>
            <w:rStyle w:val="Hyperlink"/>
            <w:noProof/>
          </w:rPr>
          <w:t>TABLE 1: Cashflows Estimates of Key Retrofits – from Direct Testimony</w:t>
        </w:r>
        <w:r w:rsidR="004D1A33">
          <w:rPr>
            <w:noProof/>
            <w:webHidden/>
          </w:rPr>
          <w:tab/>
        </w:r>
        <w:r w:rsidR="004D1A33">
          <w:rPr>
            <w:noProof/>
            <w:webHidden/>
          </w:rPr>
          <w:fldChar w:fldCharType="begin"/>
        </w:r>
        <w:r w:rsidR="004D1A33">
          <w:rPr>
            <w:noProof/>
            <w:webHidden/>
          </w:rPr>
          <w:instrText xml:space="preserve"> PAGEREF _Toc16317724 \h </w:instrText>
        </w:r>
        <w:r w:rsidR="004D1A33">
          <w:rPr>
            <w:noProof/>
            <w:webHidden/>
          </w:rPr>
        </w:r>
        <w:r w:rsidR="004D1A33">
          <w:rPr>
            <w:noProof/>
            <w:webHidden/>
          </w:rPr>
          <w:fldChar w:fldCharType="separate"/>
        </w:r>
        <w:r w:rsidR="004D1A33">
          <w:rPr>
            <w:noProof/>
            <w:webHidden/>
          </w:rPr>
          <w:t>9</w:t>
        </w:r>
        <w:r w:rsidR="004D1A33">
          <w:rPr>
            <w:noProof/>
            <w:webHidden/>
          </w:rPr>
          <w:fldChar w:fldCharType="end"/>
        </w:r>
      </w:hyperlink>
    </w:p>
    <w:p w14:paraId="08F0A4C5" w14:textId="58FF9B84"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25" w:history="1">
        <w:r w:rsidR="004D1A33" w:rsidRPr="00A500B2">
          <w:rPr>
            <w:rStyle w:val="Hyperlink"/>
            <w:noProof/>
          </w:rPr>
          <w:t>Rebutting negative comments by the Advisors and ENO.</w:t>
        </w:r>
        <w:r w:rsidR="004D1A33">
          <w:rPr>
            <w:noProof/>
            <w:webHidden/>
          </w:rPr>
          <w:tab/>
        </w:r>
        <w:r w:rsidR="004D1A33">
          <w:rPr>
            <w:noProof/>
            <w:webHidden/>
          </w:rPr>
          <w:fldChar w:fldCharType="begin"/>
        </w:r>
        <w:r w:rsidR="004D1A33">
          <w:rPr>
            <w:noProof/>
            <w:webHidden/>
          </w:rPr>
          <w:instrText xml:space="preserve"> PAGEREF _Toc16317725 \h </w:instrText>
        </w:r>
        <w:r w:rsidR="004D1A33">
          <w:rPr>
            <w:noProof/>
            <w:webHidden/>
          </w:rPr>
        </w:r>
        <w:r w:rsidR="004D1A33">
          <w:rPr>
            <w:noProof/>
            <w:webHidden/>
          </w:rPr>
          <w:fldChar w:fldCharType="separate"/>
        </w:r>
        <w:r w:rsidR="004D1A33">
          <w:rPr>
            <w:noProof/>
            <w:webHidden/>
          </w:rPr>
          <w:t>10</w:t>
        </w:r>
        <w:r w:rsidR="004D1A33">
          <w:rPr>
            <w:noProof/>
            <w:webHidden/>
          </w:rPr>
          <w:fldChar w:fldCharType="end"/>
        </w:r>
      </w:hyperlink>
    </w:p>
    <w:p w14:paraId="12EDDD3B" w14:textId="74D90C4E" w:rsidR="004D1A33" w:rsidRDefault="00663379">
      <w:pPr>
        <w:pStyle w:val="TOC2"/>
        <w:tabs>
          <w:tab w:val="right" w:leader="dot" w:pos="10070"/>
        </w:tabs>
        <w:rPr>
          <w:rFonts w:asciiTheme="minorHAnsi" w:eastAsiaTheme="minorEastAsia" w:hAnsiTheme="minorHAnsi" w:cstheme="minorBidi"/>
          <w:noProof/>
          <w:szCs w:val="22"/>
        </w:rPr>
      </w:pPr>
      <w:hyperlink w:anchor="_Toc16317726" w:history="1">
        <w:r w:rsidR="004D1A33" w:rsidRPr="00A500B2">
          <w:rPr>
            <w:rStyle w:val="Hyperlink"/>
            <w:noProof/>
          </w:rPr>
          <w:t>BSI notes that both ENO and the Advisors originally chose to cross-examine Dr Katz, and both decided against doing so and instead declined cross-examination of BSI’s witness, Myron Katz, PhD at the evidentiary hearing. Because of this, BSI was not afforded the opportunity to respond to any concerns or clarify any misunderstandings that ENO or the Advisors may have had. Please see Appendix 2.</w:t>
        </w:r>
        <w:r w:rsidR="004D1A33">
          <w:rPr>
            <w:noProof/>
            <w:webHidden/>
          </w:rPr>
          <w:tab/>
        </w:r>
        <w:r w:rsidR="004D1A33">
          <w:rPr>
            <w:noProof/>
            <w:webHidden/>
          </w:rPr>
          <w:fldChar w:fldCharType="begin"/>
        </w:r>
        <w:r w:rsidR="004D1A33">
          <w:rPr>
            <w:noProof/>
            <w:webHidden/>
          </w:rPr>
          <w:instrText xml:space="preserve"> PAGEREF _Toc16317726 \h </w:instrText>
        </w:r>
        <w:r w:rsidR="004D1A33">
          <w:rPr>
            <w:noProof/>
            <w:webHidden/>
          </w:rPr>
        </w:r>
        <w:r w:rsidR="004D1A33">
          <w:rPr>
            <w:noProof/>
            <w:webHidden/>
          </w:rPr>
          <w:fldChar w:fldCharType="separate"/>
        </w:r>
        <w:r w:rsidR="004D1A33">
          <w:rPr>
            <w:noProof/>
            <w:webHidden/>
          </w:rPr>
          <w:t>10</w:t>
        </w:r>
        <w:r w:rsidR="004D1A33">
          <w:rPr>
            <w:noProof/>
            <w:webHidden/>
          </w:rPr>
          <w:fldChar w:fldCharType="end"/>
        </w:r>
      </w:hyperlink>
    </w:p>
    <w:p w14:paraId="4A4CD4BC" w14:textId="5924A260" w:rsidR="004D1A33" w:rsidRDefault="00663379">
      <w:pPr>
        <w:pStyle w:val="TOC2"/>
        <w:tabs>
          <w:tab w:val="right" w:leader="dot" w:pos="10070"/>
        </w:tabs>
        <w:rPr>
          <w:rFonts w:asciiTheme="minorHAnsi" w:eastAsiaTheme="minorEastAsia" w:hAnsiTheme="minorHAnsi" w:cstheme="minorBidi"/>
          <w:noProof/>
          <w:szCs w:val="22"/>
        </w:rPr>
      </w:pPr>
      <w:hyperlink w:anchor="_Toc16317727" w:history="1">
        <w:r w:rsidR="004D1A33" w:rsidRPr="00A500B2">
          <w:rPr>
            <w:rStyle w:val="Hyperlink"/>
            <w:noProof/>
          </w:rPr>
          <w:t>ENO discourages use of CLEP.</w:t>
        </w:r>
        <w:r w:rsidR="004D1A33">
          <w:rPr>
            <w:noProof/>
            <w:webHidden/>
          </w:rPr>
          <w:tab/>
        </w:r>
        <w:r w:rsidR="004D1A33">
          <w:rPr>
            <w:noProof/>
            <w:webHidden/>
          </w:rPr>
          <w:fldChar w:fldCharType="begin"/>
        </w:r>
        <w:r w:rsidR="004D1A33">
          <w:rPr>
            <w:noProof/>
            <w:webHidden/>
          </w:rPr>
          <w:instrText xml:space="preserve"> PAGEREF _Toc16317727 \h </w:instrText>
        </w:r>
        <w:r w:rsidR="004D1A33">
          <w:rPr>
            <w:noProof/>
            <w:webHidden/>
          </w:rPr>
        </w:r>
        <w:r w:rsidR="004D1A33">
          <w:rPr>
            <w:noProof/>
            <w:webHidden/>
          </w:rPr>
          <w:fldChar w:fldCharType="separate"/>
        </w:r>
        <w:r w:rsidR="004D1A33">
          <w:rPr>
            <w:noProof/>
            <w:webHidden/>
          </w:rPr>
          <w:t>10</w:t>
        </w:r>
        <w:r w:rsidR="004D1A33">
          <w:rPr>
            <w:noProof/>
            <w:webHidden/>
          </w:rPr>
          <w:fldChar w:fldCharType="end"/>
        </w:r>
      </w:hyperlink>
    </w:p>
    <w:p w14:paraId="008A01E6" w14:textId="091A94EC" w:rsidR="004D1A33" w:rsidRDefault="00663379">
      <w:pPr>
        <w:pStyle w:val="TOC2"/>
        <w:tabs>
          <w:tab w:val="right" w:leader="dot" w:pos="10070"/>
        </w:tabs>
        <w:rPr>
          <w:rFonts w:asciiTheme="minorHAnsi" w:eastAsiaTheme="minorEastAsia" w:hAnsiTheme="minorHAnsi" w:cstheme="minorBidi"/>
          <w:noProof/>
          <w:szCs w:val="22"/>
        </w:rPr>
      </w:pPr>
      <w:hyperlink w:anchor="_Toc16317728" w:history="1">
        <w:r w:rsidR="004D1A33" w:rsidRPr="00A500B2">
          <w:rPr>
            <w:rStyle w:val="Hyperlink"/>
            <w:noProof/>
          </w:rPr>
          <w:t>Advisors discourage use of CLEP</w:t>
        </w:r>
        <w:r w:rsidR="004D1A33" w:rsidRPr="00A500B2">
          <w:rPr>
            <w:rStyle w:val="Hyperlink"/>
            <w:i/>
            <w:noProof/>
          </w:rPr>
          <w:t>.</w:t>
        </w:r>
        <w:r w:rsidR="004D1A33">
          <w:rPr>
            <w:noProof/>
            <w:webHidden/>
          </w:rPr>
          <w:tab/>
        </w:r>
        <w:r w:rsidR="004D1A33">
          <w:rPr>
            <w:noProof/>
            <w:webHidden/>
          </w:rPr>
          <w:fldChar w:fldCharType="begin"/>
        </w:r>
        <w:r w:rsidR="004D1A33">
          <w:rPr>
            <w:noProof/>
            <w:webHidden/>
          </w:rPr>
          <w:instrText xml:space="preserve"> PAGEREF _Toc16317728 \h </w:instrText>
        </w:r>
        <w:r w:rsidR="004D1A33">
          <w:rPr>
            <w:noProof/>
            <w:webHidden/>
          </w:rPr>
        </w:r>
        <w:r w:rsidR="004D1A33">
          <w:rPr>
            <w:noProof/>
            <w:webHidden/>
          </w:rPr>
          <w:fldChar w:fldCharType="separate"/>
        </w:r>
        <w:r w:rsidR="004D1A33">
          <w:rPr>
            <w:noProof/>
            <w:webHidden/>
          </w:rPr>
          <w:t>11</w:t>
        </w:r>
        <w:r w:rsidR="004D1A33">
          <w:rPr>
            <w:noProof/>
            <w:webHidden/>
          </w:rPr>
          <w:fldChar w:fldCharType="end"/>
        </w:r>
      </w:hyperlink>
    </w:p>
    <w:p w14:paraId="4977809D" w14:textId="43FF51E1"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29" w:history="1">
        <w:r w:rsidR="004D1A33" w:rsidRPr="00A500B2">
          <w:rPr>
            <w:rStyle w:val="Hyperlink"/>
            <w:noProof/>
          </w:rPr>
          <w:t>CLEP supports Issues of and related to those Important to other Intervenors and the Advisors</w:t>
        </w:r>
        <w:r w:rsidR="004D1A33">
          <w:rPr>
            <w:noProof/>
            <w:webHidden/>
          </w:rPr>
          <w:tab/>
        </w:r>
        <w:r w:rsidR="004D1A33">
          <w:rPr>
            <w:noProof/>
            <w:webHidden/>
          </w:rPr>
          <w:fldChar w:fldCharType="begin"/>
        </w:r>
        <w:r w:rsidR="004D1A33">
          <w:rPr>
            <w:noProof/>
            <w:webHidden/>
          </w:rPr>
          <w:instrText xml:space="preserve"> PAGEREF _Toc16317729 \h </w:instrText>
        </w:r>
        <w:r w:rsidR="004D1A33">
          <w:rPr>
            <w:noProof/>
            <w:webHidden/>
          </w:rPr>
        </w:r>
        <w:r w:rsidR="004D1A33">
          <w:rPr>
            <w:noProof/>
            <w:webHidden/>
          </w:rPr>
          <w:fldChar w:fldCharType="separate"/>
        </w:r>
        <w:r w:rsidR="004D1A33">
          <w:rPr>
            <w:noProof/>
            <w:webHidden/>
          </w:rPr>
          <w:t>14</w:t>
        </w:r>
        <w:r w:rsidR="004D1A33">
          <w:rPr>
            <w:noProof/>
            <w:webHidden/>
          </w:rPr>
          <w:fldChar w:fldCharType="end"/>
        </w:r>
      </w:hyperlink>
    </w:p>
    <w:p w14:paraId="088DD963" w14:textId="11B85B8A" w:rsidR="004D1A33" w:rsidRDefault="00663379">
      <w:pPr>
        <w:pStyle w:val="TOC2"/>
        <w:tabs>
          <w:tab w:val="right" w:leader="dot" w:pos="10070"/>
        </w:tabs>
        <w:rPr>
          <w:rFonts w:asciiTheme="minorHAnsi" w:eastAsiaTheme="minorEastAsia" w:hAnsiTheme="minorHAnsi" w:cstheme="minorBidi"/>
          <w:noProof/>
          <w:szCs w:val="22"/>
        </w:rPr>
      </w:pPr>
      <w:hyperlink w:anchor="_Toc16317730" w:history="1">
        <w:r w:rsidR="004D1A33" w:rsidRPr="00A500B2">
          <w:rPr>
            <w:rStyle w:val="Hyperlink"/>
            <w:noProof/>
          </w:rPr>
          <w:t>3 Parties exclude Riders and only use legacy base rates to set Revenue Requirements.</w:t>
        </w:r>
        <w:r w:rsidR="004D1A33">
          <w:rPr>
            <w:noProof/>
            <w:webHidden/>
          </w:rPr>
          <w:tab/>
        </w:r>
        <w:r w:rsidR="004D1A33">
          <w:rPr>
            <w:noProof/>
            <w:webHidden/>
          </w:rPr>
          <w:fldChar w:fldCharType="begin"/>
        </w:r>
        <w:r w:rsidR="004D1A33">
          <w:rPr>
            <w:noProof/>
            <w:webHidden/>
          </w:rPr>
          <w:instrText xml:space="preserve"> PAGEREF _Toc16317730 \h </w:instrText>
        </w:r>
        <w:r w:rsidR="004D1A33">
          <w:rPr>
            <w:noProof/>
            <w:webHidden/>
          </w:rPr>
        </w:r>
        <w:r w:rsidR="004D1A33">
          <w:rPr>
            <w:noProof/>
            <w:webHidden/>
          </w:rPr>
          <w:fldChar w:fldCharType="separate"/>
        </w:r>
        <w:r w:rsidR="004D1A33">
          <w:rPr>
            <w:noProof/>
            <w:webHidden/>
          </w:rPr>
          <w:t>14</w:t>
        </w:r>
        <w:r w:rsidR="004D1A33">
          <w:rPr>
            <w:noProof/>
            <w:webHidden/>
          </w:rPr>
          <w:fldChar w:fldCharType="end"/>
        </w:r>
      </w:hyperlink>
    </w:p>
    <w:p w14:paraId="44D95B72" w14:textId="4C045312" w:rsidR="004D1A33" w:rsidRDefault="00663379">
      <w:pPr>
        <w:pStyle w:val="TOC2"/>
        <w:tabs>
          <w:tab w:val="right" w:leader="dot" w:pos="10070"/>
        </w:tabs>
        <w:rPr>
          <w:rFonts w:asciiTheme="minorHAnsi" w:eastAsiaTheme="minorEastAsia" w:hAnsiTheme="minorHAnsi" w:cstheme="minorBidi"/>
          <w:noProof/>
          <w:szCs w:val="22"/>
        </w:rPr>
      </w:pPr>
      <w:hyperlink w:anchor="_Toc16317731" w:history="1">
        <w:r w:rsidR="004D1A33" w:rsidRPr="00A500B2">
          <w:rPr>
            <w:rStyle w:val="Hyperlink"/>
            <w:noProof/>
          </w:rPr>
          <w:t>Advisors want to include all non-variable riders with the base rates to establish Revenue Requirements, but their process opens the door to put Cost-of-Energy into the Rate Case.</w:t>
        </w:r>
        <w:r w:rsidR="004D1A33">
          <w:rPr>
            <w:noProof/>
            <w:webHidden/>
          </w:rPr>
          <w:tab/>
        </w:r>
        <w:r w:rsidR="004D1A33">
          <w:rPr>
            <w:noProof/>
            <w:webHidden/>
          </w:rPr>
          <w:fldChar w:fldCharType="begin"/>
        </w:r>
        <w:r w:rsidR="004D1A33">
          <w:rPr>
            <w:noProof/>
            <w:webHidden/>
          </w:rPr>
          <w:instrText xml:space="preserve"> PAGEREF _Toc16317731 \h </w:instrText>
        </w:r>
        <w:r w:rsidR="004D1A33">
          <w:rPr>
            <w:noProof/>
            <w:webHidden/>
          </w:rPr>
        </w:r>
        <w:r w:rsidR="004D1A33">
          <w:rPr>
            <w:noProof/>
            <w:webHidden/>
          </w:rPr>
          <w:fldChar w:fldCharType="separate"/>
        </w:r>
        <w:r w:rsidR="004D1A33">
          <w:rPr>
            <w:noProof/>
            <w:webHidden/>
          </w:rPr>
          <w:t>14</w:t>
        </w:r>
        <w:r w:rsidR="004D1A33">
          <w:rPr>
            <w:noProof/>
            <w:webHidden/>
          </w:rPr>
          <w:fldChar w:fldCharType="end"/>
        </w:r>
      </w:hyperlink>
    </w:p>
    <w:p w14:paraId="6195EBE5" w14:textId="12430619" w:rsidR="004D1A33" w:rsidRDefault="00663379">
      <w:pPr>
        <w:pStyle w:val="TOC2"/>
        <w:tabs>
          <w:tab w:val="right" w:leader="dot" w:pos="10070"/>
        </w:tabs>
        <w:rPr>
          <w:rFonts w:asciiTheme="minorHAnsi" w:eastAsiaTheme="minorEastAsia" w:hAnsiTheme="minorHAnsi" w:cstheme="minorBidi"/>
          <w:noProof/>
          <w:szCs w:val="22"/>
        </w:rPr>
      </w:pPr>
      <w:hyperlink w:anchor="_Toc16317732" w:history="1">
        <w:r w:rsidR="004D1A33" w:rsidRPr="00A500B2">
          <w:rPr>
            <w:rStyle w:val="Hyperlink"/>
            <w:noProof/>
          </w:rPr>
          <w:t>Cost-of-Energy is germane to Ratemaking.</w:t>
        </w:r>
        <w:r w:rsidR="004D1A33">
          <w:rPr>
            <w:noProof/>
            <w:webHidden/>
          </w:rPr>
          <w:tab/>
        </w:r>
        <w:r w:rsidR="004D1A33">
          <w:rPr>
            <w:noProof/>
            <w:webHidden/>
          </w:rPr>
          <w:fldChar w:fldCharType="begin"/>
        </w:r>
        <w:r w:rsidR="004D1A33">
          <w:rPr>
            <w:noProof/>
            <w:webHidden/>
          </w:rPr>
          <w:instrText xml:space="preserve"> PAGEREF _Toc16317732 \h </w:instrText>
        </w:r>
        <w:r w:rsidR="004D1A33">
          <w:rPr>
            <w:noProof/>
            <w:webHidden/>
          </w:rPr>
        </w:r>
        <w:r w:rsidR="004D1A33">
          <w:rPr>
            <w:noProof/>
            <w:webHidden/>
          </w:rPr>
          <w:fldChar w:fldCharType="separate"/>
        </w:r>
        <w:r w:rsidR="004D1A33">
          <w:rPr>
            <w:noProof/>
            <w:webHidden/>
          </w:rPr>
          <w:t>15</w:t>
        </w:r>
        <w:r w:rsidR="004D1A33">
          <w:rPr>
            <w:noProof/>
            <w:webHidden/>
          </w:rPr>
          <w:fldChar w:fldCharType="end"/>
        </w:r>
      </w:hyperlink>
    </w:p>
    <w:p w14:paraId="4F8794F8" w14:textId="2B7546EB" w:rsidR="004D1A33" w:rsidRDefault="00663379">
      <w:pPr>
        <w:pStyle w:val="TOC2"/>
        <w:tabs>
          <w:tab w:val="right" w:leader="dot" w:pos="10070"/>
        </w:tabs>
        <w:rPr>
          <w:rFonts w:asciiTheme="minorHAnsi" w:eastAsiaTheme="minorEastAsia" w:hAnsiTheme="minorHAnsi" w:cstheme="minorBidi"/>
          <w:noProof/>
          <w:szCs w:val="22"/>
        </w:rPr>
      </w:pPr>
      <w:hyperlink w:anchor="_Toc16317733" w:history="1">
        <w:r w:rsidR="004D1A33" w:rsidRPr="00A500B2">
          <w:rPr>
            <w:rStyle w:val="Hyperlink"/>
            <w:noProof/>
          </w:rPr>
          <w:t>CLEP directly lowers the Cost-of-Energy RIDER by design.</w:t>
        </w:r>
        <w:r w:rsidR="004D1A33">
          <w:rPr>
            <w:noProof/>
            <w:webHidden/>
          </w:rPr>
          <w:tab/>
        </w:r>
        <w:r w:rsidR="004D1A33">
          <w:rPr>
            <w:noProof/>
            <w:webHidden/>
          </w:rPr>
          <w:fldChar w:fldCharType="begin"/>
        </w:r>
        <w:r w:rsidR="004D1A33">
          <w:rPr>
            <w:noProof/>
            <w:webHidden/>
          </w:rPr>
          <w:instrText xml:space="preserve"> PAGEREF _Toc16317733 \h </w:instrText>
        </w:r>
        <w:r w:rsidR="004D1A33">
          <w:rPr>
            <w:noProof/>
            <w:webHidden/>
          </w:rPr>
        </w:r>
        <w:r w:rsidR="004D1A33">
          <w:rPr>
            <w:noProof/>
            <w:webHidden/>
          </w:rPr>
          <w:fldChar w:fldCharType="separate"/>
        </w:r>
        <w:r w:rsidR="004D1A33">
          <w:rPr>
            <w:noProof/>
            <w:webHidden/>
          </w:rPr>
          <w:t>16</w:t>
        </w:r>
        <w:r w:rsidR="004D1A33">
          <w:rPr>
            <w:noProof/>
            <w:webHidden/>
          </w:rPr>
          <w:fldChar w:fldCharType="end"/>
        </w:r>
      </w:hyperlink>
    </w:p>
    <w:p w14:paraId="1F6AD3B3" w14:textId="7D60777C" w:rsidR="004D1A33" w:rsidRDefault="00663379">
      <w:pPr>
        <w:pStyle w:val="TOC2"/>
        <w:tabs>
          <w:tab w:val="right" w:leader="dot" w:pos="10070"/>
        </w:tabs>
        <w:rPr>
          <w:rFonts w:asciiTheme="minorHAnsi" w:eastAsiaTheme="minorEastAsia" w:hAnsiTheme="minorHAnsi" w:cstheme="minorBidi"/>
          <w:noProof/>
          <w:szCs w:val="22"/>
        </w:rPr>
      </w:pPr>
      <w:hyperlink w:anchor="_Toc16317734" w:history="1">
        <w:r w:rsidR="004D1A33" w:rsidRPr="00A500B2">
          <w:rPr>
            <w:rStyle w:val="Hyperlink"/>
            <w:noProof/>
          </w:rPr>
          <w:t>Allocating costs among rate classes starts with a “12-point Coincident Demand” (CD) test</w:t>
        </w:r>
        <w:r w:rsidR="004D1A33">
          <w:rPr>
            <w:noProof/>
            <w:webHidden/>
          </w:rPr>
          <w:tab/>
        </w:r>
        <w:r w:rsidR="004D1A33">
          <w:rPr>
            <w:noProof/>
            <w:webHidden/>
          </w:rPr>
          <w:fldChar w:fldCharType="begin"/>
        </w:r>
        <w:r w:rsidR="004D1A33">
          <w:rPr>
            <w:noProof/>
            <w:webHidden/>
          </w:rPr>
          <w:instrText xml:space="preserve"> PAGEREF _Toc16317734 \h </w:instrText>
        </w:r>
        <w:r w:rsidR="004D1A33">
          <w:rPr>
            <w:noProof/>
            <w:webHidden/>
          </w:rPr>
        </w:r>
        <w:r w:rsidR="004D1A33">
          <w:rPr>
            <w:noProof/>
            <w:webHidden/>
          </w:rPr>
          <w:fldChar w:fldCharType="separate"/>
        </w:r>
        <w:r w:rsidR="004D1A33">
          <w:rPr>
            <w:noProof/>
            <w:webHidden/>
          </w:rPr>
          <w:t>16</w:t>
        </w:r>
        <w:r w:rsidR="004D1A33">
          <w:rPr>
            <w:noProof/>
            <w:webHidden/>
          </w:rPr>
          <w:fldChar w:fldCharType="end"/>
        </w:r>
      </w:hyperlink>
    </w:p>
    <w:p w14:paraId="60483931" w14:textId="44F5A80E" w:rsidR="004D1A33" w:rsidRDefault="00663379">
      <w:pPr>
        <w:pStyle w:val="TOC2"/>
        <w:tabs>
          <w:tab w:val="right" w:leader="dot" w:pos="10070"/>
        </w:tabs>
        <w:rPr>
          <w:rFonts w:asciiTheme="minorHAnsi" w:eastAsiaTheme="minorEastAsia" w:hAnsiTheme="minorHAnsi" w:cstheme="minorBidi"/>
          <w:noProof/>
          <w:szCs w:val="22"/>
        </w:rPr>
      </w:pPr>
      <w:hyperlink w:anchor="_Toc16317735" w:history="1">
        <w:r w:rsidR="004D1A33" w:rsidRPr="00A500B2">
          <w:rPr>
            <w:rStyle w:val="Hyperlink"/>
            <w:noProof/>
          </w:rPr>
          <w:t>Skewed Assignment of Costs (SAC)</w:t>
        </w:r>
        <w:r w:rsidR="004D1A33">
          <w:rPr>
            <w:noProof/>
            <w:webHidden/>
          </w:rPr>
          <w:tab/>
        </w:r>
        <w:r w:rsidR="004D1A33">
          <w:rPr>
            <w:noProof/>
            <w:webHidden/>
          </w:rPr>
          <w:fldChar w:fldCharType="begin"/>
        </w:r>
        <w:r w:rsidR="004D1A33">
          <w:rPr>
            <w:noProof/>
            <w:webHidden/>
          </w:rPr>
          <w:instrText xml:space="preserve"> PAGEREF _Toc16317735 \h </w:instrText>
        </w:r>
        <w:r w:rsidR="004D1A33">
          <w:rPr>
            <w:noProof/>
            <w:webHidden/>
          </w:rPr>
        </w:r>
        <w:r w:rsidR="004D1A33">
          <w:rPr>
            <w:noProof/>
            <w:webHidden/>
          </w:rPr>
          <w:fldChar w:fldCharType="separate"/>
        </w:r>
        <w:r w:rsidR="004D1A33">
          <w:rPr>
            <w:noProof/>
            <w:webHidden/>
          </w:rPr>
          <w:t>17</w:t>
        </w:r>
        <w:r w:rsidR="004D1A33">
          <w:rPr>
            <w:noProof/>
            <w:webHidden/>
          </w:rPr>
          <w:fldChar w:fldCharType="end"/>
        </w:r>
      </w:hyperlink>
    </w:p>
    <w:p w14:paraId="4DC6EB5C" w14:textId="35042F01" w:rsidR="004D1A33" w:rsidRDefault="00663379">
      <w:pPr>
        <w:pStyle w:val="TOC2"/>
        <w:tabs>
          <w:tab w:val="right" w:leader="dot" w:pos="10070"/>
        </w:tabs>
        <w:rPr>
          <w:rFonts w:asciiTheme="minorHAnsi" w:eastAsiaTheme="minorEastAsia" w:hAnsiTheme="minorHAnsi" w:cstheme="minorBidi"/>
          <w:noProof/>
          <w:szCs w:val="22"/>
        </w:rPr>
      </w:pPr>
      <w:hyperlink w:anchor="_Toc16317736" w:history="1">
        <w:r w:rsidR="004D1A33" w:rsidRPr="00A500B2">
          <w:rPr>
            <w:rStyle w:val="Hyperlink"/>
            <w:noProof/>
          </w:rPr>
          <w:t>BSI proposes phasing out SAC over 10 years to avoid rate shock.</w:t>
        </w:r>
        <w:r w:rsidR="004D1A33">
          <w:rPr>
            <w:noProof/>
            <w:webHidden/>
          </w:rPr>
          <w:tab/>
        </w:r>
        <w:r w:rsidR="004D1A33">
          <w:rPr>
            <w:noProof/>
            <w:webHidden/>
          </w:rPr>
          <w:fldChar w:fldCharType="begin"/>
        </w:r>
        <w:r w:rsidR="004D1A33">
          <w:rPr>
            <w:noProof/>
            <w:webHidden/>
          </w:rPr>
          <w:instrText xml:space="preserve"> PAGEREF _Toc16317736 \h </w:instrText>
        </w:r>
        <w:r w:rsidR="004D1A33">
          <w:rPr>
            <w:noProof/>
            <w:webHidden/>
          </w:rPr>
        </w:r>
        <w:r w:rsidR="004D1A33">
          <w:rPr>
            <w:noProof/>
            <w:webHidden/>
          </w:rPr>
          <w:fldChar w:fldCharType="separate"/>
        </w:r>
        <w:r w:rsidR="004D1A33">
          <w:rPr>
            <w:noProof/>
            <w:webHidden/>
          </w:rPr>
          <w:t>17</w:t>
        </w:r>
        <w:r w:rsidR="004D1A33">
          <w:rPr>
            <w:noProof/>
            <w:webHidden/>
          </w:rPr>
          <w:fldChar w:fldCharType="end"/>
        </w:r>
      </w:hyperlink>
    </w:p>
    <w:p w14:paraId="63400B1A" w14:textId="0CA20CC0" w:rsidR="004D1A33" w:rsidRDefault="00663379">
      <w:pPr>
        <w:pStyle w:val="TOC2"/>
        <w:tabs>
          <w:tab w:val="right" w:leader="dot" w:pos="10070"/>
        </w:tabs>
        <w:rPr>
          <w:rFonts w:asciiTheme="minorHAnsi" w:eastAsiaTheme="minorEastAsia" w:hAnsiTheme="minorHAnsi" w:cstheme="minorBidi"/>
          <w:noProof/>
          <w:szCs w:val="22"/>
        </w:rPr>
      </w:pPr>
      <w:hyperlink w:anchor="_Toc16317737" w:history="1">
        <w:r w:rsidR="004D1A33" w:rsidRPr="00A500B2">
          <w:rPr>
            <w:rStyle w:val="Hyperlink"/>
            <w:noProof/>
          </w:rPr>
          <w:t>CLEP directly lowers its costumers’ peak demands by design.</w:t>
        </w:r>
        <w:r w:rsidR="004D1A33">
          <w:rPr>
            <w:noProof/>
            <w:webHidden/>
          </w:rPr>
          <w:tab/>
        </w:r>
        <w:r w:rsidR="004D1A33">
          <w:rPr>
            <w:noProof/>
            <w:webHidden/>
          </w:rPr>
          <w:fldChar w:fldCharType="begin"/>
        </w:r>
        <w:r w:rsidR="004D1A33">
          <w:rPr>
            <w:noProof/>
            <w:webHidden/>
          </w:rPr>
          <w:instrText xml:space="preserve"> PAGEREF _Toc16317737 \h </w:instrText>
        </w:r>
        <w:r w:rsidR="004D1A33">
          <w:rPr>
            <w:noProof/>
            <w:webHidden/>
          </w:rPr>
        </w:r>
        <w:r w:rsidR="004D1A33">
          <w:rPr>
            <w:noProof/>
            <w:webHidden/>
          </w:rPr>
          <w:fldChar w:fldCharType="separate"/>
        </w:r>
        <w:r w:rsidR="004D1A33">
          <w:rPr>
            <w:noProof/>
            <w:webHidden/>
          </w:rPr>
          <w:t>17</w:t>
        </w:r>
        <w:r w:rsidR="004D1A33">
          <w:rPr>
            <w:noProof/>
            <w:webHidden/>
          </w:rPr>
          <w:fldChar w:fldCharType="end"/>
        </w:r>
      </w:hyperlink>
    </w:p>
    <w:p w14:paraId="2AF6C6C1" w14:textId="0EFD53D8" w:rsidR="004D1A33" w:rsidRDefault="00663379">
      <w:pPr>
        <w:pStyle w:val="TOC2"/>
        <w:tabs>
          <w:tab w:val="right" w:leader="dot" w:pos="10070"/>
        </w:tabs>
        <w:rPr>
          <w:rFonts w:asciiTheme="minorHAnsi" w:eastAsiaTheme="minorEastAsia" w:hAnsiTheme="minorHAnsi" w:cstheme="minorBidi"/>
          <w:noProof/>
          <w:szCs w:val="22"/>
        </w:rPr>
      </w:pPr>
      <w:hyperlink w:anchor="_Toc16317738" w:history="1">
        <w:r w:rsidR="004D1A33" w:rsidRPr="00A500B2">
          <w:rPr>
            <w:rStyle w:val="Hyperlink"/>
            <w:noProof/>
          </w:rPr>
          <w:t>1 Intervenor opposes the use of the 12-point CD test in the annual FRP true-up.</w:t>
        </w:r>
        <w:r w:rsidR="004D1A33">
          <w:rPr>
            <w:noProof/>
            <w:webHidden/>
          </w:rPr>
          <w:tab/>
        </w:r>
        <w:r w:rsidR="004D1A33">
          <w:rPr>
            <w:noProof/>
            <w:webHidden/>
          </w:rPr>
          <w:fldChar w:fldCharType="begin"/>
        </w:r>
        <w:r w:rsidR="004D1A33">
          <w:rPr>
            <w:noProof/>
            <w:webHidden/>
          </w:rPr>
          <w:instrText xml:space="preserve"> PAGEREF _Toc16317738 \h </w:instrText>
        </w:r>
        <w:r w:rsidR="004D1A33">
          <w:rPr>
            <w:noProof/>
            <w:webHidden/>
          </w:rPr>
        </w:r>
        <w:r w:rsidR="004D1A33">
          <w:rPr>
            <w:noProof/>
            <w:webHidden/>
          </w:rPr>
          <w:fldChar w:fldCharType="separate"/>
        </w:r>
        <w:r w:rsidR="004D1A33">
          <w:rPr>
            <w:noProof/>
            <w:webHidden/>
          </w:rPr>
          <w:t>18</w:t>
        </w:r>
        <w:r w:rsidR="004D1A33">
          <w:rPr>
            <w:noProof/>
            <w:webHidden/>
          </w:rPr>
          <w:fldChar w:fldCharType="end"/>
        </w:r>
      </w:hyperlink>
    </w:p>
    <w:p w14:paraId="58339994" w14:textId="527A5C1C" w:rsidR="004D1A33" w:rsidRDefault="00663379">
      <w:pPr>
        <w:pStyle w:val="TOC2"/>
        <w:tabs>
          <w:tab w:val="right" w:leader="dot" w:pos="10070"/>
        </w:tabs>
        <w:rPr>
          <w:rFonts w:asciiTheme="minorHAnsi" w:eastAsiaTheme="minorEastAsia" w:hAnsiTheme="minorHAnsi" w:cstheme="minorBidi"/>
          <w:noProof/>
          <w:szCs w:val="22"/>
        </w:rPr>
      </w:pPr>
      <w:hyperlink w:anchor="_Toc16317739" w:history="1">
        <w:r w:rsidR="004D1A33" w:rsidRPr="00A500B2">
          <w:rPr>
            <w:rStyle w:val="Hyperlink"/>
            <w:noProof/>
          </w:rPr>
          <w:t>CLEP will help to confuse and ameliorate an FRP.</w:t>
        </w:r>
        <w:r w:rsidR="004D1A33">
          <w:rPr>
            <w:noProof/>
            <w:webHidden/>
          </w:rPr>
          <w:tab/>
        </w:r>
        <w:r w:rsidR="004D1A33">
          <w:rPr>
            <w:noProof/>
            <w:webHidden/>
          </w:rPr>
          <w:fldChar w:fldCharType="begin"/>
        </w:r>
        <w:r w:rsidR="004D1A33">
          <w:rPr>
            <w:noProof/>
            <w:webHidden/>
          </w:rPr>
          <w:instrText xml:space="preserve"> PAGEREF _Toc16317739 \h </w:instrText>
        </w:r>
        <w:r w:rsidR="004D1A33">
          <w:rPr>
            <w:noProof/>
            <w:webHidden/>
          </w:rPr>
        </w:r>
        <w:r w:rsidR="004D1A33">
          <w:rPr>
            <w:noProof/>
            <w:webHidden/>
          </w:rPr>
          <w:fldChar w:fldCharType="separate"/>
        </w:r>
        <w:r w:rsidR="004D1A33">
          <w:rPr>
            <w:noProof/>
            <w:webHidden/>
          </w:rPr>
          <w:t>18</w:t>
        </w:r>
        <w:r w:rsidR="004D1A33">
          <w:rPr>
            <w:noProof/>
            <w:webHidden/>
          </w:rPr>
          <w:fldChar w:fldCharType="end"/>
        </w:r>
      </w:hyperlink>
    </w:p>
    <w:p w14:paraId="4E9796D6" w14:textId="5F56460D"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40" w:history="1">
        <w:r w:rsidR="004D1A33" w:rsidRPr="00A500B2">
          <w:rPr>
            <w:rStyle w:val="Hyperlink"/>
            <w:noProof/>
          </w:rPr>
          <w:t>CLOSING STATEMENT</w:t>
        </w:r>
        <w:r w:rsidR="004D1A33">
          <w:rPr>
            <w:noProof/>
            <w:webHidden/>
          </w:rPr>
          <w:tab/>
        </w:r>
        <w:r w:rsidR="004D1A33">
          <w:rPr>
            <w:noProof/>
            <w:webHidden/>
          </w:rPr>
          <w:fldChar w:fldCharType="begin"/>
        </w:r>
        <w:r w:rsidR="004D1A33">
          <w:rPr>
            <w:noProof/>
            <w:webHidden/>
          </w:rPr>
          <w:instrText xml:space="preserve"> PAGEREF _Toc16317740 \h </w:instrText>
        </w:r>
        <w:r w:rsidR="004D1A33">
          <w:rPr>
            <w:noProof/>
            <w:webHidden/>
          </w:rPr>
        </w:r>
        <w:r w:rsidR="004D1A33">
          <w:rPr>
            <w:noProof/>
            <w:webHidden/>
          </w:rPr>
          <w:fldChar w:fldCharType="separate"/>
        </w:r>
        <w:r w:rsidR="004D1A33">
          <w:rPr>
            <w:noProof/>
            <w:webHidden/>
          </w:rPr>
          <w:t>19</w:t>
        </w:r>
        <w:r w:rsidR="004D1A33">
          <w:rPr>
            <w:noProof/>
            <w:webHidden/>
          </w:rPr>
          <w:fldChar w:fldCharType="end"/>
        </w:r>
      </w:hyperlink>
    </w:p>
    <w:p w14:paraId="288261F1" w14:textId="3EC5BA98"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41" w:history="1">
        <w:r w:rsidR="004D1A33" w:rsidRPr="00A500B2">
          <w:rPr>
            <w:rStyle w:val="Hyperlink"/>
            <w:b/>
            <w:bCs/>
            <w:noProof/>
          </w:rPr>
          <w:t>Prayer for Relief</w:t>
        </w:r>
        <w:r w:rsidR="004D1A33">
          <w:rPr>
            <w:noProof/>
            <w:webHidden/>
          </w:rPr>
          <w:tab/>
        </w:r>
        <w:r w:rsidR="004D1A33">
          <w:rPr>
            <w:noProof/>
            <w:webHidden/>
          </w:rPr>
          <w:fldChar w:fldCharType="begin"/>
        </w:r>
        <w:r w:rsidR="004D1A33">
          <w:rPr>
            <w:noProof/>
            <w:webHidden/>
          </w:rPr>
          <w:instrText xml:space="preserve"> PAGEREF _Toc16317741 \h </w:instrText>
        </w:r>
        <w:r w:rsidR="004D1A33">
          <w:rPr>
            <w:noProof/>
            <w:webHidden/>
          </w:rPr>
        </w:r>
        <w:r w:rsidR="004D1A33">
          <w:rPr>
            <w:noProof/>
            <w:webHidden/>
          </w:rPr>
          <w:fldChar w:fldCharType="separate"/>
        </w:r>
        <w:r w:rsidR="004D1A33">
          <w:rPr>
            <w:noProof/>
            <w:webHidden/>
          </w:rPr>
          <w:t>21</w:t>
        </w:r>
        <w:r w:rsidR="004D1A33">
          <w:rPr>
            <w:noProof/>
            <w:webHidden/>
          </w:rPr>
          <w:fldChar w:fldCharType="end"/>
        </w:r>
      </w:hyperlink>
    </w:p>
    <w:p w14:paraId="2CF417FE" w14:textId="32770B6E" w:rsidR="004D1A33" w:rsidRDefault="00663379">
      <w:pPr>
        <w:pStyle w:val="TOC2"/>
        <w:tabs>
          <w:tab w:val="left" w:pos="1320"/>
          <w:tab w:val="right" w:leader="dot" w:pos="10070"/>
        </w:tabs>
        <w:rPr>
          <w:rFonts w:asciiTheme="minorHAnsi" w:eastAsiaTheme="minorEastAsia" w:hAnsiTheme="minorHAnsi" w:cstheme="minorBidi"/>
          <w:noProof/>
          <w:szCs w:val="22"/>
        </w:rPr>
      </w:pPr>
      <w:hyperlink w:anchor="_Toc16317742" w:history="1">
        <w:r w:rsidR="004D1A33" w:rsidRPr="00A500B2">
          <w:rPr>
            <w:rStyle w:val="Hyperlink"/>
            <w:noProof/>
          </w:rPr>
          <w:t>1.</w:t>
        </w:r>
        <w:r w:rsidR="004D1A33">
          <w:rPr>
            <w:rFonts w:asciiTheme="minorHAnsi" w:eastAsiaTheme="minorEastAsia" w:hAnsiTheme="minorHAnsi" w:cstheme="minorBidi"/>
            <w:noProof/>
            <w:szCs w:val="22"/>
          </w:rPr>
          <w:tab/>
        </w:r>
        <w:r w:rsidR="004D1A33" w:rsidRPr="00A500B2">
          <w:rPr>
            <w:rStyle w:val="Hyperlink"/>
            <w:noProof/>
          </w:rPr>
          <w:t>Set up a working group to resolve all the issues that may need to be addressed in implementing CLEP.</w:t>
        </w:r>
        <w:r w:rsidR="004D1A33">
          <w:rPr>
            <w:noProof/>
            <w:webHidden/>
          </w:rPr>
          <w:tab/>
        </w:r>
        <w:r w:rsidR="004D1A33">
          <w:rPr>
            <w:noProof/>
            <w:webHidden/>
          </w:rPr>
          <w:fldChar w:fldCharType="begin"/>
        </w:r>
        <w:r w:rsidR="004D1A33">
          <w:rPr>
            <w:noProof/>
            <w:webHidden/>
          </w:rPr>
          <w:instrText xml:space="preserve"> PAGEREF _Toc16317742 \h </w:instrText>
        </w:r>
        <w:r w:rsidR="004D1A33">
          <w:rPr>
            <w:noProof/>
            <w:webHidden/>
          </w:rPr>
        </w:r>
        <w:r w:rsidR="004D1A33">
          <w:rPr>
            <w:noProof/>
            <w:webHidden/>
          </w:rPr>
          <w:fldChar w:fldCharType="separate"/>
        </w:r>
        <w:r w:rsidR="004D1A33">
          <w:rPr>
            <w:noProof/>
            <w:webHidden/>
          </w:rPr>
          <w:t>21</w:t>
        </w:r>
        <w:r w:rsidR="004D1A33">
          <w:rPr>
            <w:noProof/>
            <w:webHidden/>
          </w:rPr>
          <w:fldChar w:fldCharType="end"/>
        </w:r>
      </w:hyperlink>
    </w:p>
    <w:p w14:paraId="2B494304" w14:textId="7900C50B" w:rsidR="004D1A33" w:rsidRDefault="00663379">
      <w:pPr>
        <w:pStyle w:val="TOC2"/>
        <w:tabs>
          <w:tab w:val="left" w:pos="1320"/>
          <w:tab w:val="right" w:leader="dot" w:pos="10070"/>
        </w:tabs>
        <w:rPr>
          <w:rFonts w:asciiTheme="minorHAnsi" w:eastAsiaTheme="minorEastAsia" w:hAnsiTheme="minorHAnsi" w:cstheme="minorBidi"/>
          <w:noProof/>
          <w:szCs w:val="22"/>
        </w:rPr>
      </w:pPr>
      <w:hyperlink w:anchor="_Toc16317743" w:history="1">
        <w:r w:rsidR="004D1A33" w:rsidRPr="00A500B2">
          <w:rPr>
            <w:rStyle w:val="Hyperlink"/>
            <w:noProof/>
          </w:rPr>
          <w:t>2.</w:t>
        </w:r>
        <w:r w:rsidR="004D1A33">
          <w:rPr>
            <w:rFonts w:asciiTheme="minorHAnsi" w:eastAsiaTheme="minorEastAsia" w:hAnsiTheme="minorHAnsi" w:cstheme="minorBidi"/>
            <w:noProof/>
            <w:szCs w:val="22"/>
          </w:rPr>
          <w:tab/>
        </w:r>
        <w:r w:rsidR="004D1A33" w:rsidRPr="00A500B2">
          <w:rPr>
            <w:rStyle w:val="Hyperlink"/>
            <w:noProof/>
          </w:rPr>
          <w:t>Implement CLEP as two complementary CLEP5 and CLEPm rates and/or tariffs in the form and manner of the formulas set forth in Point 8 of BSI’s Initial Post Hearing Brief and across all customer classes in a mandatory fashion.</w:t>
        </w:r>
        <w:r w:rsidR="004D1A33">
          <w:rPr>
            <w:noProof/>
            <w:webHidden/>
          </w:rPr>
          <w:tab/>
        </w:r>
        <w:r w:rsidR="004D1A33">
          <w:rPr>
            <w:noProof/>
            <w:webHidden/>
          </w:rPr>
          <w:fldChar w:fldCharType="begin"/>
        </w:r>
        <w:r w:rsidR="004D1A33">
          <w:rPr>
            <w:noProof/>
            <w:webHidden/>
          </w:rPr>
          <w:instrText xml:space="preserve"> PAGEREF _Toc16317743 \h </w:instrText>
        </w:r>
        <w:r w:rsidR="004D1A33">
          <w:rPr>
            <w:noProof/>
            <w:webHidden/>
          </w:rPr>
        </w:r>
        <w:r w:rsidR="004D1A33">
          <w:rPr>
            <w:noProof/>
            <w:webHidden/>
          </w:rPr>
          <w:fldChar w:fldCharType="separate"/>
        </w:r>
        <w:r w:rsidR="004D1A33">
          <w:rPr>
            <w:noProof/>
            <w:webHidden/>
          </w:rPr>
          <w:t>21</w:t>
        </w:r>
        <w:r w:rsidR="004D1A33">
          <w:rPr>
            <w:noProof/>
            <w:webHidden/>
          </w:rPr>
          <w:fldChar w:fldCharType="end"/>
        </w:r>
      </w:hyperlink>
    </w:p>
    <w:p w14:paraId="349CBED4" w14:textId="7E8B0F28" w:rsidR="004D1A33" w:rsidRDefault="00663379">
      <w:pPr>
        <w:pStyle w:val="TOC2"/>
        <w:tabs>
          <w:tab w:val="left" w:pos="1320"/>
          <w:tab w:val="right" w:leader="dot" w:pos="10070"/>
        </w:tabs>
        <w:rPr>
          <w:rFonts w:asciiTheme="minorHAnsi" w:eastAsiaTheme="minorEastAsia" w:hAnsiTheme="minorHAnsi" w:cstheme="minorBidi"/>
          <w:noProof/>
          <w:szCs w:val="22"/>
        </w:rPr>
      </w:pPr>
      <w:hyperlink w:anchor="_Toc16317744" w:history="1">
        <w:r w:rsidR="004D1A33" w:rsidRPr="00A500B2">
          <w:rPr>
            <w:rStyle w:val="Hyperlink"/>
            <w:noProof/>
          </w:rPr>
          <w:t>3.</w:t>
        </w:r>
        <w:r w:rsidR="004D1A33">
          <w:rPr>
            <w:rFonts w:asciiTheme="minorHAnsi" w:eastAsiaTheme="minorEastAsia" w:hAnsiTheme="minorHAnsi" w:cstheme="minorBidi"/>
            <w:noProof/>
            <w:szCs w:val="22"/>
          </w:rPr>
          <w:tab/>
        </w:r>
        <w:r w:rsidR="004D1A33" w:rsidRPr="00A500B2">
          <w:rPr>
            <w:rStyle w:val="Hyperlink"/>
            <w:noProof/>
          </w:rPr>
          <w:t>Alternatively, BSI respectfully requests that the Council direct Entergy to implement CLEP as two complementary CLEP5 and CLEPm rates and/or tariffs in the form and manner of the formulas set forth in Point 8 above and to make them available to all customers who desire to avail themselves of CLEP on an OPT-IN basis.</w:t>
        </w:r>
        <w:r w:rsidR="004D1A33">
          <w:rPr>
            <w:noProof/>
            <w:webHidden/>
          </w:rPr>
          <w:tab/>
        </w:r>
        <w:r w:rsidR="004D1A33">
          <w:rPr>
            <w:noProof/>
            <w:webHidden/>
          </w:rPr>
          <w:fldChar w:fldCharType="begin"/>
        </w:r>
        <w:r w:rsidR="004D1A33">
          <w:rPr>
            <w:noProof/>
            <w:webHidden/>
          </w:rPr>
          <w:instrText xml:space="preserve"> PAGEREF _Toc16317744 \h </w:instrText>
        </w:r>
        <w:r w:rsidR="004D1A33">
          <w:rPr>
            <w:noProof/>
            <w:webHidden/>
          </w:rPr>
        </w:r>
        <w:r w:rsidR="004D1A33">
          <w:rPr>
            <w:noProof/>
            <w:webHidden/>
          </w:rPr>
          <w:fldChar w:fldCharType="separate"/>
        </w:r>
        <w:r w:rsidR="004D1A33">
          <w:rPr>
            <w:noProof/>
            <w:webHidden/>
          </w:rPr>
          <w:t>21</w:t>
        </w:r>
        <w:r w:rsidR="004D1A33">
          <w:rPr>
            <w:noProof/>
            <w:webHidden/>
          </w:rPr>
          <w:fldChar w:fldCharType="end"/>
        </w:r>
      </w:hyperlink>
    </w:p>
    <w:p w14:paraId="7C51A4B4" w14:textId="1F34E92B" w:rsidR="004D1A33" w:rsidRDefault="00663379">
      <w:pPr>
        <w:pStyle w:val="TOC2"/>
        <w:tabs>
          <w:tab w:val="left" w:pos="1320"/>
          <w:tab w:val="right" w:leader="dot" w:pos="10070"/>
        </w:tabs>
        <w:rPr>
          <w:rFonts w:asciiTheme="minorHAnsi" w:eastAsiaTheme="minorEastAsia" w:hAnsiTheme="minorHAnsi" w:cstheme="minorBidi"/>
          <w:noProof/>
          <w:szCs w:val="22"/>
        </w:rPr>
      </w:pPr>
      <w:hyperlink w:anchor="_Toc16317745" w:history="1">
        <w:r w:rsidR="004D1A33" w:rsidRPr="00A500B2">
          <w:rPr>
            <w:rStyle w:val="Hyperlink"/>
            <w:noProof/>
          </w:rPr>
          <w:t>4.</w:t>
        </w:r>
        <w:r w:rsidR="004D1A33">
          <w:rPr>
            <w:rFonts w:asciiTheme="minorHAnsi" w:eastAsiaTheme="minorEastAsia" w:hAnsiTheme="minorHAnsi" w:cstheme="minorBidi"/>
            <w:noProof/>
            <w:szCs w:val="22"/>
          </w:rPr>
          <w:tab/>
        </w:r>
        <w:r w:rsidR="004D1A33" w:rsidRPr="00A500B2">
          <w:rPr>
            <w:rStyle w:val="Hyperlink"/>
            <w:noProof/>
          </w:rPr>
          <w:t xml:space="preserve">Alternatively, BSI respectfully requests that the Council initiate a new docket, or sub-docket, to </w:t>
        </w:r>
        <w:r w:rsidR="004D1A33" w:rsidRPr="00A500B2">
          <w:rPr>
            <w:rStyle w:val="Hyperlink"/>
            <w:noProof/>
          </w:rPr>
          <w:lastRenderedPageBreak/>
          <w:t>implement CLEP as soon as practical.</w:t>
        </w:r>
        <w:r w:rsidR="004D1A33">
          <w:rPr>
            <w:noProof/>
            <w:webHidden/>
          </w:rPr>
          <w:tab/>
        </w:r>
        <w:r w:rsidR="004D1A33">
          <w:rPr>
            <w:noProof/>
            <w:webHidden/>
          </w:rPr>
          <w:fldChar w:fldCharType="begin"/>
        </w:r>
        <w:r w:rsidR="004D1A33">
          <w:rPr>
            <w:noProof/>
            <w:webHidden/>
          </w:rPr>
          <w:instrText xml:space="preserve"> PAGEREF _Toc16317745 \h </w:instrText>
        </w:r>
        <w:r w:rsidR="004D1A33">
          <w:rPr>
            <w:noProof/>
            <w:webHidden/>
          </w:rPr>
        </w:r>
        <w:r w:rsidR="004D1A33">
          <w:rPr>
            <w:noProof/>
            <w:webHidden/>
          </w:rPr>
          <w:fldChar w:fldCharType="separate"/>
        </w:r>
        <w:r w:rsidR="004D1A33">
          <w:rPr>
            <w:noProof/>
            <w:webHidden/>
          </w:rPr>
          <w:t>21</w:t>
        </w:r>
        <w:r w:rsidR="004D1A33">
          <w:rPr>
            <w:noProof/>
            <w:webHidden/>
          </w:rPr>
          <w:fldChar w:fldCharType="end"/>
        </w:r>
      </w:hyperlink>
    </w:p>
    <w:p w14:paraId="6328777D" w14:textId="3D2295EE"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46" w:history="1">
        <w:r w:rsidR="004D1A33" w:rsidRPr="00A500B2">
          <w:rPr>
            <w:rStyle w:val="Hyperlink"/>
            <w:noProof/>
          </w:rPr>
          <w:t>Appendix 1. Table 1 and its full justification from the Direct Testimony</w:t>
        </w:r>
        <w:r w:rsidR="004D1A33">
          <w:rPr>
            <w:noProof/>
            <w:webHidden/>
          </w:rPr>
          <w:tab/>
        </w:r>
        <w:r w:rsidR="004D1A33">
          <w:rPr>
            <w:noProof/>
            <w:webHidden/>
          </w:rPr>
          <w:fldChar w:fldCharType="begin"/>
        </w:r>
        <w:r w:rsidR="004D1A33">
          <w:rPr>
            <w:noProof/>
            <w:webHidden/>
          </w:rPr>
          <w:instrText xml:space="preserve"> PAGEREF _Toc16317746 \h </w:instrText>
        </w:r>
        <w:r w:rsidR="004D1A33">
          <w:rPr>
            <w:noProof/>
            <w:webHidden/>
          </w:rPr>
        </w:r>
        <w:r w:rsidR="004D1A33">
          <w:rPr>
            <w:noProof/>
            <w:webHidden/>
          </w:rPr>
          <w:fldChar w:fldCharType="separate"/>
        </w:r>
        <w:r w:rsidR="004D1A33">
          <w:rPr>
            <w:noProof/>
            <w:webHidden/>
          </w:rPr>
          <w:t>23</w:t>
        </w:r>
        <w:r w:rsidR="004D1A33">
          <w:rPr>
            <w:noProof/>
            <w:webHidden/>
          </w:rPr>
          <w:fldChar w:fldCharType="end"/>
        </w:r>
      </w:hyperlink>
    </w:p>
    <w:p w14:paraId="227CD80B" w14:textId="62CE5DEB" w:rsidR="004D1A33" w:rsidRDefault="00EB0A80">
      <w:pPr>
        <w:pStyle w:val="TOC1"/>
        <w:tabs>
          <w:tab w:val="right" w:leader="dot" w:pos="10070"/>
        </w:tabs>
        <w:rPr>
          <w:rFonts w:asciiTheme="minorHAnsi" w:eastAsiaTheme="minorEastAsia" w:hAnsiTheme="minorHAnsi" w:cstheme="minorBidi"/>
          <w:noProof/>
          <w:sz w:val="22"/>
          <w:szCs w:val="22"/>
        </w:rPr>
      </w:pPr>
      <w:hyperlink w:anchor="_Toc16317747" w:history="1">
        <w:r w:rsidR="004D1A33" w:rsidRPr="00A500B2">
          <w:rPr>
            <w:rStyle w:val="Hyperlink"/>
            <w:noProof/>
          </w:rPr>
          <w:t>Appendix 2. SURREBUTTAL TESTIMONY</w:t>
        </w:r>
        <w:r w:rsidR="004D1A33">
          <w:rPr>
            <w:noProof/>
            <w:webHidden/>
          </w:rPr>
          <w:tab/>
        </w:r>
        <w:r w:rsidR="004D1A33">
          <w:rPr>
            <w:noProof/>
            <w:webHidden/>
          </w:rPr>
          <w:fldChar w:fldCharType="begin"/>
        </w:r>
        <w:r w:rsidR="004D1A33">
          <w:rPr>
            <w:noProof/>
            <w:webHidden/>
          </w:rPr>
          <w:instrText xml:space="preserve"> PAGEREF _Toc16317747 \h </w:instrText>
        </w:r>
        <w:r w:rsidR="004D1A33">
          <w:rPr>
            <w:noProof/>
            <w:webHidden/>
          </w:rPr>
        </w:r>
        <w:r w:rsidR="004D1A33">
          <w:rPr>
            <w:noProof/>
            <w:webHidden/>
          </w:rPr>
          <w:fldChar w:fldCharType="separate"/>
        </w:r>
        <w:r w:rsidR="004D1A33">
          <w:rPr>
            <w:noProof/>
            <w:webHidden/>
          </w:rPr>
          <w:t>24</w:t>
        </w:r>
        <w:r w:rsidR="004D1A33">
          <w:rPr>
            <w:noProof/>
            <w:webHidden/>
          </w:rPr>
          <w:fldChar w:fldCharType="end"/>
        </w:r>
      </w:hyperlink>
    </w:p>
    <w:p w14:paraId="2A78EB79" w14:textId="1D1F1CE0" w:rsidR="004D1A33" w:rsidRDefault="00EB0A80">
      <w:pPr>
        <w:pStyle w:val="TOC1"/>
        <w:tabs>
          <w:tab w:val="right" w:leader="dot" w:pos="10070"/>
        </w:tabs>
        <w:rPr>
          <w:rFonts w:asciiTheme="minorHAnsi" w:eastAsiaTheme="minorEastAsia" w:hAnsiTheme="minorHAnsi" w:cstheme="minorBidi"/>
          <w:noProof/>
          <w:sz w:val="22"/>
          <w:szCs w:val="22"/>
        </w:rPr>
      </w:pPr>
      <w:hyperlink w:anchor="_Toc16317748" w:history="1">
        <w:r w:rsidR="004D1A33" w:rsidRPr="00A500B2">
          <w:rPr>
            <w:rStyle w:val="Hyperlink"/>
            <w:noProof/>
          </w:rPr>
          <w:t>Appendix 3. How can “cost-of-energy” and “average cost of electricity ENO incurs” be modelled?</w:t>
        </w:r>
        <w:r w:rsidR="004D1A33">
          <w:rPr>
            <w:noProof/>
            <w:webHidden/>
          </w:rPr>
          <w:tab/>
        </w:r>
        <w:r w:rsidR="004D1A33">
          <w:rPr>
            <w:noProof/>
            <w:webHidden/>
          </w:rPr>
          <w:fldChar w:fldCharType="begin"/>
        </w:r>
        <w:r w:rsidR="004D1A33">
          <w:rPr>
            <w:noProof/>
            <w:webHidden/>
          </w:rPr>
          <w:instrText xml:space="preserve"> PAGEREF _Toc16317748 \h </w:instrText>
        </w:r>
        <w:r w:rsidR="004D1A33">
          <w:rPr>
            <w:noProof/>
            <w:webHidden/>
          </w:rPr>
        </w:r>
        <w:r w:rsidR="004D1A33">
          <w:rPr>
            <w:noProof/>
            <w:webHidden/>
          </w:rPr>
          <w:fldChar w:fldCharType="separate"/>
        </w:r>
        <w:r w:rsidR="004D1A33">
          <w:rPr>
            <w:noProof/>
            <w:webHidden/>
          </w:rPr>
          <w:t>32</w:t>
        </w:r>
        <w:r w:rsidR="004D1A33">
          <w:rPr>
            <w:noProof/>
            <w:webHidden/>
          </w:rPr>
          <w:fldChar w:fldCharType="end"/>
        </w:r>
      </w:hyperlink>
    </w:p>
    <w:p w14:paraId="7BEE53C0" w14:textId="3A2CB580"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49" w:history="1">
        <w:r w:rsidR="004D1A33" w:rsidRPr="00A500B2">
          <w:rPr>
            <w:rStyle w:val="Hyperlink"/>
            <w:noProof/>
          </w:rPr>
          <w:t>Appendix 4: Paradoxes of the current Rate Case model that probably apply to virtually all utilities.</w:t>
        </w:r>
        <w:r w:rsidR="004D1A33">
          <w:rPr>
            <w:noProof/>
            <w:webHidden/>
          </w:rPr>
          <w:tab/>
        </w:r>
        <w:r w:rsidR="004D1A33">
          <w:rPr>
            <w:noProof/>
            <w:webHidden/>
          </w:rPr>
          <w:fldChar w:fldCharType="begin"/>
        </w:r>
        <w:r w:rsidR="004D1A33">
          <w:rPr>
            <w:noProof/>
            <w:webHidden/>
          </w:rPr>
          <w:instrText xml:space="preserve"> PAGEREF _Toc16317749 \h </w:instrText>
        </w:r>
        <w:r w:rsidR="004D1A33">
          <w:rPr>
            <w:noProof/>
            <w:webHidden/>
          </w:rPr>
        </w:r>
        <w:r w:rsidR="004D1A33">
          <w:rPr>
            <w:noProof/>
            <w:webHidden/>
          </w:rPr>
          <w:fldChar w:fldCharType="separate"/>
        </w:r>
        <w:r w:rsidR="004D1A33">
          <w:rPr>
            <w:noProof/>
            <w:webHidden/>
          </w:rPr>
          <w:t>33</w:t>
        </w:r>
        <w:r w:rsidR="004D1A33">
          <w:rPr>
            <w:noProof/>
            <w:webHidden/>
          </w:rPr>
          <w:fldChar w:fldCharType="end"/>
        </w:r>
      </w:hyperlink>
    </w:p>
    <w:p w14:paraId="010FE1F1" w14:textId="3B0AA014" w:rsidR="004D1A33" w:rsidRDefault="00663379">
      <w:pPr>
        <w:pStyle w:val="TOC2"/>
        <w:tabs>
          <w:tab w:val="right" w:leader="dot" w:pos="10070"/>
        </w:tabs>
        <w:rPr>
          <w:rFonts w:asciiTheme="minorHAnsi" w:eastAsiaTheme="minorEastAsia" w:hAnsiTheme="minorHAnsi" w:cstheme="minorBidi"/>
          <w:noProof/>
          <w:szCs w:val="22"/>
        </w:rPr>
      </w:pPr>
      <w:hyperlink w:anchor="_Toc16317750" w:history="1">
        <w:r w:rsidR="004D1A33" w:rsidRPr="00A500B2">
          <w:rPr>
            <w:rStyle w:val="Hyperlink"/>
            <w:noProof/>
          </w:rPr>
          <w:t>FAC is not a pure “cost-of-energy”</w:t>
        </w:r>
        <w:r w:rsidR="004D1A33">
          <w:rPr>
            <w:noProof/>
            <w:webHidden/>
          </w:rPr>
          <w:tab/>
        </w:r>
        <w:r w:rsidR="004D1A33">
          <w:rPr>
            <w:noProof/>
            <w:webHidden/>
          </w:rPr>
          <w:fldChar w:fldCharType="begin"/>
        </w:r>
        <w:r w:rsidR="004D1A33">
          <w:rPr>
            <w:noProof/>
            <w:webHidden/>
          </w:rPr>
          <w:instrText xml:space="preserve"> PAGEREF _Toc16317750 \h </w:instrText>
        </w:r>
        <w:r w:rsidR="004D1A33">
          <w:rPr>
            <w:noProof/>
            <w:webHidden/>
          </w:rPr>
        </w:r>
        <w:r w:rsidR="004D1A33">
          <w:rPr>
            <w:noProof/>
            <w:webHidden/>
          </w:rPr>
          <w:fldChar w:fldCharType="separate"/>
        </w:r>
        <w:r w:rsidR="004D1A33">
          <w:rPr>
            <w:noProof/>
            <w:webHidden/>
          </w:rPr>
          <w:t>33</w:t>
        </w:r>
        <w:r w:rsidR="004D1A33">
          <w:rPr>
            <w:noProof/>
            <w:webHidden/>
          </w:rPr>
          <w:fldChar w:fldCharType="end"/>
        </w:r>
      </w:hyperlink>
    </w:p>
    <w:p w14:paraId="595B9152" w14:textId="3EC754AA" w:rsidR="004D1A33" w:rsidRDefault="00663379">
      <w:pPr>
        <w:pStyle w:val="TOC2"/>
        <w:tabs>
          <w:tab w:val="right" w:leader="dot" w:pos="10070"/>
        </w:tabs>
        <w:rPr>
          <w:rFonts w:asciiTheme="minorHAnsi" w:eastAsiaTheme="minorEastAsia" w:hAnsiTheme="minorHAnsi" w:cstheme="minorBidi"/>
          <w:noProof/>
          <w:szCs w:val="22"/>
        </w:rPr>
      </w:pPr>
      <w:hyperlink w:anchor="_Toc16317751" w:history="1">
        <w:r w:rsidR="004D1A33" w:rsidRPr="00A500B2">
          <w:rPr>
            <w:rStyle w:val="Hyperlink"/>
            <w:noProof/>
          </w:rPr>
          <w:t>In traditional electricity rate cases, capacity assets can be turned off or on at will</w:t>
        </w:r>
        <w:r w:rsidR="004D1A33">
          <w:rPr>
            <w:noProof/>
            <w:webHidden/>
          </w:rPr>
          <w:tab/>
        </w:r>
        <w:r w:rsidR="004D1A33">
          <w:rPr>
            <w:noProof/>
            <w:webHidden/>
          </w:rPr>
          <w:fldChar w:fldCharType="begin"/>
        </w:r>
        <w:r w:rsidR="004D1A33">
          <w:rPr>
            <w:noProof/>
            <w:webHidden/>
          </w:rPr>
          <w:instrText xml:space="preserve"> PAGEREF _Toc16317751 \h </w:instrText>
        </w:r>
        <w:r w:rsidR="004D1A33">
          <w:rPr>
            <w:noProof/>
            <w:webHidden/>
          </w:rPr>
        </w:r>
        <w:r w:rsidR="004D1A33">
          <w:rPr>
            <w:noProof/>
            <w:webHidden/>
          </w:rPr>
          <w:fldChar w:fldCharType="separate"/>
        </w:r>
        <w:r w:rsidR="004D1A33">
          <w:rPr>
            <w:noProof/>
            <w:webHidden/>
          </w:rPr>
          <w:t>33</w:t>
        </w:r>
        <w:r w:rsidR="004D1A33">
          <w:rPr>
            <w:noProof/>
            <w:webHidden/>
          </w:rPr>
          <w:fldChar w:fldCharType="end"/>
        </w:r>
      </w:hyperlink>
    </w:p>
    <w:p w14:paraId="28E2EE87" w14:textId="75B38F30" w:rsidR="004D1A33" w:rsidRDefault="00663379">
      <w:pPr>
        <w:pStyle w:val="TOC2"/>
        <w:tabs>
          <w:tab w:val="right" w:leader="dot" w:pos="10070"/>
        </w:tabs>
        <w:rPr>
          <w:rFonts w:asciiTheme="minorHAnsi" w:eastAsiaTheme="minorEastAsia" w:hAnsiTheme="minorHAnsi" w:cstheme="minorBidi"/>
          <w:noProof/>
          <w:szCs w:val="22"/>
        </w:rPr>
      </w:pPr>
      <w:hyperlink w:anchor="_Toc16317752" w:history="1">
        <w:r w:rsidR="004D1A33" w:rsidRPr="00A500B2">
          <w:rPr>
            <w:rStyle w:val="Hyperlink"/>
            <w:noProof/>
          </w:rPr>
          <w:t>Renewable Energy Resources disrupt this assumption.</w:t>
        </w:r>
        <w:r w:rsidR="004D1A33">
          <w:rPr>
            <w:noProof/>
            <w:webHidden/>
          </w:rPr>
          <w:tab/>
        </w:r>
        <w:r w:rsidR="004D1A33">
          <w:rPr>
            <w:noProof/>
            <w:webHidden/>
          </w:rPr>
          <w:fldChar w:fldCharType="begin"/>
        </w:r>
        <w:r w:rsidR="004D1A33">
          <w:rPr>
            <w:noProof/>
            <w:webHidden/>
          </w:rPr>
          <w:instrText xml:space="preserve"> PAGEREF _Toc16317752 \h </w:instrText>
        </w:r>
        <w:r w:rsidR="004D1A33">
          <w:rPr>
            <w:noProof/>
            <w:webHidden/>
          </w:rPr>
        </w:r>
        <w:r w:rsidR="004D1A33">
          <w:rPr>
            <w:noProof/>
            <w:webHidden/>
          </w:rPr>
          <w:fldChar w:fldCharType="separate"/>
        </w:r>
        <w:r w:rsidR="004D1A33">
          <w:rPr>
            <w:noProof/>
            <w:webHidden/>
          </w:rPr>
          <w:t>33</w:t>
        </w:r>
        <w:r w:rsidR="004D1A33">
          <w:rPr>
            <w:noProof/>
            <w:webHidden/>
          </w:rPr>
          <w:fldChar w:fldCharType="end"/>
        </w:r>
      </w:hyperlink>
    </w:p>
    <w:p w14:paraId="24E57A06" w14:textId="048B7C53" w:rsidR="004D1A33" w:rsidRDefault="00663379">
      <w:pPr>
        <w:pStyle w:val="TOC2"/>
        <w:tabs>
          <w:tab w:val="right" w:leader="dot" w:pos="10070"/>
        </w:tabs>
        <w:rPr>
          <w:rFonts w:asciiTheme="minorHAnsi" w:eastAsiaTheme="minorEastAsia" w:hAnsiTheme="minorHAnsi" w:cstheme="minorBidi"/>
          <w:noProof/>
          <w:szCs w:val="22"/>
        </w:rPr>
      </w:pPr>
      <w:hyperlink w:anchor="_Toc16317753" w:history="1">
        <w:r w:rsidR="004D1A33" w:rsidRPr="00A500B2">
          <w:rPr>
            <w:rStyle w:val="Hyperlink"/>
            <w:noProof/>
          </w:rPr>
          <w:t>Renewable energy (RE) is rapidly displacing traditional generating assets</w:t>
        </w:r>
        <w:r w:rsidR="004D1A33">
          <w:rPr>
            <w:noProof/>
            <w:webHidden/>
          </w:rPr>
          <w:tab/>
        </w:r>
        <w:r w:rsidR="004D1A33">
          <w:rPr>
            <w:noProof/>
            <w:webHidden/>
          </w:rPr>
          <w:fldChar w:fldCharType="begin"/>
        </w:r>
        <w:r w:rsidR="004D1A33">
          <w:rPr>
            <w:noProof/>
            <w:webHidden/>
          </w:rPr>
          <w:instrText xml:space="preserve"> PAGEREF _Toc16317753 \h </w:instrText>
        </w:r>
        <w:r w:rsidR="004D1A33">
          <w:rPr>
            <w:noProof/>
            <w:webHidden/>
          </w:rPr>
        </w:r>
        <w:r w:rsidR="004D1A33">
          <w:rPr>
            <w:noProof/>
            <w:webHidden/>
          </w:rPr>
          <w:fldChar w:fldCharType="separate"/>
        </w:r>
        <w:r w:rsidR="004D1A33">
          <w:rPr>
            <w:noProof/>
            <w:webHidden/>
          </w:rPr>
          <w:t>33</w:t>
        </w:r>
        <w:r w:rsidR="004D1A33">
          <w:rPr>
            <w:noProof/>
            <w:webHidden/>
          </w:rPr>
          <w:fldChar w:fldCharType="end"/>
        </w:r>
      </w:hyperlink>
    </w:p>
    <w:p w14:paraId="12870EE0" w14:textId="063E0880" w:rsidR="004D1A33" w:rsidRDefault="00663379">
      <w:pPr>
        <w:pStyle w:val="TOC2"/>
        <w:tabs>
          <w:tab w:val="right" w:leader="dot" w:pos="10070"/>
        </w:tabs>
        <w:rPr>
          <w:rFonts w:asciiTheme="minorHAnsi" w:eastAsiaTheme="minorEastAsia" w:hAnsiTheme="minorHAnsi" w:cstheme="minorBidi"/>
          <w:noProof/>
          <w:szCs w:val="22"/>
        </w:rPr>
      </w:pPr>
      <w:hyperlink w:anchor="_Toc16317754" w:history="1">
        <w:r w:rsidR="004D1A33" w:rsidRPr="00A500B2">
          <w:rPr>
            <w:rStyle w:val="Hyperlink"/>
            <w:noProof/>
          </w:rPr>
          <w:t>Distributed Energy Resources (DER) provide more economic value to the grid if installed on the customers’ side of the meter</w:t>
        </w:r>
        <w:r w:rsidR="004D1A33">
          <w:rPr>
            <w:noProof/>
            <w:webHidden/>
          </w:rPr>
          <w:tab/>
        </w:r>
        <w:r w:rsidR="004D1A33">
          <w:rPr>
            <w:noProof/>
            <w:webHidden/>
          </w:rPr>
          <w:fldChar w:fldCharType="begin"/>
        </w:r>
        <w:r w:rsidR="004D1A33">
          <w:rPr>
            <w:noProof/>
            <w:webHidden/>
          </w:rPr>
          <w:instrText xml:space="preserve"> PAGEREF _Toc16317754 \h </w:instrText>
        </w:r>
        <w:r w:rsidR="004D1A33">
          <w:rPr>
            <w:noProof/>
            <w:webHidden/>
          </w:rPr>
        </w:r>
        <w:r w:rsidR="004D1A33">
          <w:rPr>
            <w:noProof/>
            <w:webHidden/>
          </w:rPr>
          <w:fldChar w:fldCharType="separate"/>
        </w:r>
        <w:r w:rsidR="004D1A33">
          <w:rPr>
            <w:noProof/>
            <w:webHidden/>
          </w:rPr>
          <w:t>34</w:t>
        </w:r>
        <w:r w:rsidR="004D1A33">
          <w:rPr>
            <w:noProof/>
            <w:webHidden/>
          </w:rPr>
          <w:fldChar w:fldCharType="end"/>
        </w:r>
      </w:hyperlink>
    </w:p>
    <w:p w14:paraId="625260EB" w14:textId="77D3DA7F" w:rsidR="004D1A33" w:rsidRDefault="00663379">
      <w:pPr>
        <w:pStyle w:val="TOC2"/>
        <w:tabs>
          <w:tab w:val="right" w:leader="dot" w:pos="10070"/>
        </w:tabs>
        <w:rPr>
          <w:rFonts w:asciiTheme="minorHAnsi" w:eastAsiaTheme="minorEastAsia" w:hAnsiTheme="minorHAnsi" w:cstheme="minorBidi"/>
          <w:noProof/>
          <w:szCs w:val="22"/>
        </w:rPr>
      </w:pPr>
      <w:hyperlink w:anchor="_Toc16317755" w:history="1">
        <w:r w:rsidR="004D1A33" w:rsidRPr="00A500B2">
          <w:rPr>
            <w:rStyle w:val="Hyperlink"/>
            <w:noProof/>
          </w:rPr>
          <w:t>Before CLEP, there was no means to finance most forms of DER;</w:t>
        </w:r>
        <w:r w:rsidR="004D1A33">
          <w:rPr>
            <w:noProof/>
            <w:webHidden/>
          </w:rPr>
          <w:tab/>
        </w:r>
        <w:r w:rsidR="004D1A33">
          <w:rPr>
            <w:noProof/>
            <w:webHidden/>
          </w:rPr>
          <w:fldChar w:fldCharType="begin"/>
        </w:r>
        <w:r w:rsidR="004D1A33">
          <w:rPr>
            <w:noProof/>
            <w:webHidden/>
          </w:rPr>
          <w:instrText xml:space="preserve"> PAGEREF _Toc16317755 \h </w:instrText>
        </w:r>
        <w:r w:rsidR="004D1A33">
          <w:rPr>
            <w:noProof/>
            <w:webHidden/>
          </w:rPr>
        </w:r>
        <w:r w:rsidR="004D1A33">
          <w:rPr>
            <w:noProof/>
            <w:webHidden/>
          </w:rPr>
          <w:fldChar w:fldCharType="separate"/>
        </w:r>
        <w:r w:rsidR="004D1A33">
          <w:rPr>
            <w:noProof/>
            <w:webHidden/>
          </w:rPr>
          <w:t>34</w:t>
        </w:r>
        <w:r w:rsidR="004D1A33">
          <w:rPr>
            <w:noProof/>
            <w:webHidden/>
          </w:rPr>
          <w:fldChar w:fldCharType="end"/>
        </w:r>
      </w:hyperlink>
    </w:p>
    <w:p w14:paraId="0D5D0465" w14:textId="34A38C28" w:rsidR="004D1A33" w:rsidRDefault="00663379">
      <w:pPr>
        <w:pStyle w:val="TOC1"/>
        <w:tabs>
          <w:tab w:val="right" w:leader="dot" w:pos="10070"/>
        </w:tabs>
        <w:rPr>
          <w:rFonts w:asciiTheme="minorHAnsi" w:eastAsiaTheme="minorEastAsia" w:hAnsiTheme="minorHAnsi" w:cstheme="minorBidi"/>
          <w:noProof/>
          <w:sz w:val="22"/>
          <w:szCs w:val="22"/>
        </w:rPr>
      </w:pPr>
      <w:hyperlink w:anchor="_Toc16317756" w:history="1">
        <w:r w:rsidR="004D1A33" w:rsidRPr="00A500B2">
          <w:rPr>
            <w:rStyle w:val="Hyperlink"/>
            <w:noProof/>
          </w:rPr>
          <w:t>Appendix 5: Other issues that can be explored that have practical consequences</w:t>
        </w:r>
        <w:r w:rsidR="004D1A33">
          <w:rPr>
            <w:noProof/>
            <w:webHidden/>
          </w:rPr>
          <w:tab/>
        </w:r>
        <w:r w:rsidR="004D1A33">
          <w:rPr>
            <w:noProof/>
            <w:webHidden/>
          </w:rPr>
          <w:fldChar w:fldCharType="begin"/>
        </w:r>
        <w:r w:rsidR="004D1A33">
          <w:rPr>
            <w:noProof/>
            <w:webHidden/>
          </w:rPr>
          <w:instrText xml:space="preserve"> PAGEREF _Toc16317756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447E552F" w14:textId="2AE9F632" w:rsidR="004D1A33" w:rsidRDefault="00663379">
      <w:pPr>
        <w:pStyle w:val="TOC2"/>
        <w:tabs>
          <w:tab w:val="right" w:leader="dot" w:pos="10070"/>
        </w:tabs>
        <w:rPr>
          <w:rFonts w:asciiTheme="minorHAnsi" w:eastAsiaTheme="minorEastAsia" w:hAnsiTheme="minorHAnsi" w:cstheme="minorBidi"/>
          <w:noProof/>
          <w:szCs w:val="22"/>
        </w:rPr>
      </w:pPr>
      <w:hyperlink w:anchor="_Toc16317757" w:history="1">
        <w:r w:rsidR="004D1A33" w:rsidRPr="00A500B2">
          <w:rPr>
            <w:rStyle w:val="Hyperlink"/>
            <w:noProof/>
          </w:rPr>
          <w:t>An asset that has both energy saving and capacity benefits can and must be analyzed from both the Utility’s and Customer’s perspective.</w:t>
        </w:r>
        <w:r w:rsidR="004D1A33">
          <w:rPr>
            <w:noProof/>
            <w:webHidden/>
          </w:rPr>
          <w:tab/>
        </w:r>
        <w:r w:rsidR="004D1A33">
          <w:rPr>
            <w:noProof/>
            <w:webHidden/>
          </w:rPr>
          <w:fldChar w:fldCharType="begin"/>
        </w:r>
        <w:r w:rsidR="004D1A33">
          <w:rPr>
            <w:noProof/>
            <w:webHidden/>
          </w:rPr>
          <w:instrText xml:space="preserve"> PAGEREF _Toc16317757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3D96B248" w14:textId="1EE7695D" w:rsidR="004D1A33" w:rsidRDefault="00663379">
      <w:pPr>
        <w:pStyle w:val="TOC2"/>
        <w:tabs>
          <w:tab w:val="right" w:leader="dot" w:pos="10070"/>
        </w:tabs>
        <w:rPr>
          <w:rFonts w:asciiTheme="minorHAnsi" w:eastAsiaTheme="minorEastAsia" w:hAnsiTheme="minorHAnsi" w:cstheme="minorBidi"/>
          <w:noProof/>
          <w:szCs w:val="22"/>
        </w:rPr>
      </w:pPr>
      <w:hyperlink w:anchor="_Toc16317758" w:history="1">
        <w:r w:rsidR="004D1A33" w:rsidRPr="00A500B2">
          <w:rPr>
            <w:rStyle w:val="Hyperlink"/>
            <w:noProof/>
          </w:rPr>
          <w:t>Will a utility benefit by customers’ well-orchestrated attempts to lower their energy bills?</w:t>
        </w:r>
        <w:r w:rsidR="004D1A33">
          <w:rPr>
            <w:noProof/>
            <w:webHidden/>
          </w:rPr>
          <w:tab/>
        </w:r>
        <w:r w:rsidR="004D1A33">
          <w:rPr>
            <w:noProof/>
            <w:webHidden/>
          </w:rPr>
          <w:fldChar w:fldCharType="begin"/>
        </w:r>
        <w:r w:rsidR="004D1A33">
          <w:rPr>
            <w:noProof/>
            <w:webHidden/>
          </w:rPr>
          <w:instrText xml:space="preserve"> PAGEREF _Toc16317758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59425590" w14:textId="0D2C3E06" w:rsidR="004D1A33" w:rsidRDefault="00663379">
      <w:pPr>
        <w:pStyle w:val="TOC2"/>
        <w:tabs>
          <w:tab w:val="right" w:leader="dot" w:pos="10070"/>
        </w:tabs>
        <w:rPr>
          <w:rFonts w:asciiTheme="minorHAnsi" w:eastAsiaTheme="minorEastAsia" w:hAnsiTheme="minorHAnsi" w:cstheme="minorBidi"/>
          <w:noProof/>
          <w:szCs w:val="22"/>
        </w:rPr>
      </w:pPr>
      <w:hyperlink w:anchor="_Toc16317759" w:history="1">
        <w:r w:rsidR="004D1A33" w:rsidRPr="00A500B2">
          <w:rPr>
            <w:rStyle w:val="Hyperlink"/>
            <w:noProof/>
          </w:rPr>
          <w:t>Will CLEP extinguish itself?</w:t>
        </w:r>
        <w:r w:rsidR="004D1A33">
          <w:rPr>
            <w:noProof/>
            <w:webHidden/>
          </w:rPr>
          <w:tab/>
        </w:r>
        <w:r w:rsidR="004D1A33">
          <w:rPr>
            <w:noProof/>
            <w:webHidden/>
          </w:rPr>
          <w:fldChar w:fldCharType="begin"/>
        </w:r>
        <w:r w:rsidR="004D1A33">
          <w:rPr>
            <w:noProof/>
            <w:webHidden/>
          </w:rPr>
          <w:instrText xml:space="preserve"> PAGEREF _Toc16317759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60D9543F" w14:textId="7344D7AE" w:rsidR="004D1A33" w:rsidRDefault="00663379">
      <w:pPr>
        <w:pStyle w:val="TOC2"/>
        <w:tabs>
          <w:tab w:val="right" w:leader="dot" w:pos="10070"/>
        </w:tabs>
        <w:rPr>
          <w:rFonts w:asciiTheme="minorHAnsi" w:eastAsiaTheme="minorEastAsia" w:hAnsiTheme="minorHAnsi" w:cstheme="minorBidi"/>
          <w:noProof/>
          <w:szCs w:val="22"/>
        </w:rPr>
      </w:pPr>
      <w:hyperlink w:anchor="_Toc16317760" w:history="1">
        <w:r w:rsidR="004D1A33" w:rsidRPr="00A500B2">
          <w:rPr>
            <w:rStyle w:val="Hyperlink"/>
            <w:noProof/>
          </w:rPr>
          <w:t>What will the world be like when CLEP is no longer used and useful?</w:t>
        </w:r>
        <w:r w:rsidR="004D1A33">
          <w:rPr>
            <w:noProof/>
            <w:webHidden/>
          </w:rPr>
          <w:tab/>
        </w:r>
        <w:r w:rsidR="004D1A33">
          <w:rPr>
            <w:noProof/>
            <w:webHidden/>
          </w:rPr>
          <w:fldChar w:fldCharType="begin"/>
        </w:r>
        <w:r w:rsidR="004D1A33">
          <w:rPr>
            <w:noProof/>
            <w:webHidden/>
          </w:rPr>
          <w:instrText xml:space="preserve"> PAGEREF _Toc16317760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0C81D40D" w14:textId="64768B36" w:rsidR="004D1A33" w:rsidRDefault="00663379">
      <w:pPr>
        <w:pStyle w:val="TOC2"/>
        <w:tabs>
          <w:tab w:val="right" w:leader="dot" w:pos="10070"/>
        </w:tabs>
        <w:rPr>
          <w:rFonts w:asciiTheme="minorHAnsi" w:eastAsiaTheme="minorEastAsia" w:hAnsiTheme="minorHAnsi" w:cstheme="minorBidi"/>
          <w:noProof/>
          <w:szCs w:val="22"/>
        </w:rPr>
      </w:pPr>
      <w:hyperlink w:anchor="_Toc16317761" w:history="1">
        <w:r w:rsidR="004D1A33" w:rsidRPr="00A500B2">
          <w:rPr>
            <w:rStyle w:val="Hyperlink"/>
            <w:noProof/>
          </w:rPr>
          <w:t>Can the Earth adequately heal without CLEP?</w:t>
        </w:r>
        <w:r w:rsidR="004D1A33">
          <w:rPr>
            <w:noProof/>
            <w:webHidden/>
          </w:rPr>
          <w:tab/>
        </w:r>
        <w:r w:rsidR="004D1A33">
          <w:rPr>
            <w:noProof/>
            <w:webHidden/>
          </w:rPr>
          <w:fldChar w:fldCharType="begin"/>
        </w:r>
        <w:r w:rsidR="004D1A33">
          <w:rPr>
            <w:noProof/>
            <w:webHidden/>
          </w:rPr>
          <w:instrText xml:space="preserve"> PAGEREF _Toc16317761 \h </w:instrText>
        </w:r>
        <w:r w:rsidR="004D1A33">
          <w:rPr>
            <w:noProof/>
            <w:webHidden/>
          </w:rPr>
        </w:r>
        <w:r w:rsidR="004D1A33">
          <w:rPr>
            <w:noProof/>
            <w:webHidden/>
          </w:rPr>
          <w:fldChar w:fldCharType="separate"/>
        </w:r>
        <w:r w:rsidR="004D1A33">
          <w:rPr>
            <w:noProof/>
            <w:webHidden/>
          </w:rPr>
          <w:t>35</w:t>
        </w:r>
        <w:r w:rsidR="004D1A33">
          <w:rPr>
            <w:noProof/>
            <w:webHidden/>
          </w:rPr>
          <w:fldChar w:fldCharType="end"/>
        </w:r>
      </w:hyperlink>
    </w:p>
    <w:p w14:paraId="6B73BA03" w14:textId="66D2FFC8" w:rsidR="008419F3" w:rsidRPr="003C7F6D" w:rsidRDefault="008419F3" w:rsidP="008419F3">
      <w:pPr>
        <w:jc w:val="both"/>
        <w:rPr>
          <w:b/>
          <w:sz w:val="24"/>
          <w:szCs w:val="24"/>
        </w:rPr>
      </w:pPr>
      <w:r w:rsidRPr="003C7F6D">
        <w:rPr>
          <w:sz w:val="24"/>
          <w:szCs w:val="24"/>
        </w:rPr>
        <w:fldChar w:fldCharType="end"/>
      </w:r>
    </w:p>
    <w:p w14:paraId="51B3FF26" w14:textId="77777777" w:rsidR="008419F3" w:rsidRPr="003C7F6D" w:rsidRDefault="008419F3" w:rsidP="008419F3">
      <w:pPr>
        <w:jc w:val="both"/>
        <w:rPr>
          <w:b/>
          <w:sz w:val="24"/>
          <w:szCs w:val="24"/>
        </w:rPr>
      </w:pPr>
      <w:r w:rsidRPr="003C7F6D">
        <w:rPr>
          <w:b/>
          <w:sz w:val="24"/>
          <w:szCs w:val="24"/>
        </w:rPr>
        <w:br w:type="page"/>
      </w:r>
    </w:p>
    <w:p w14:paraId="7B7F0898" w14:textId="77777777" w:rsidR="008419F3" w:rsidRPr="003C7F6D" w:rsidRDefault="008419F3" w:rsidP="002815C8">
      <w:pPr>
        <w:pStyle w:val="Heading1"/>
        <w:spacing w:before="11"/>
        <w:jc w:val="both"/>
        <w:rPr>
          <w:sz w:val="24"/>
          <w:szCs w:val="24"/>
        </w:rPr>
      </w:pPr>
      <w:bookmarkStart w:id="0" w:name="_TOC_250002"/>
      <w:bookmarkStart w:id="1" w:name="_Toc13642744"/>
      <w:bookmarkStart w:id="2" w:name="_Toc16090406"/>
      <w:bookmarkStart w:id="3" w:name="_Toc16317716"/>
      <w:bookmarkStart w:id="4" w:name="_Toc16254880"/>
      <w:bookmarkEnd w:id="0"/>
      <w:r w:rsidRPr="003C7F6D">
        <w:rPr>
          <w:sz w:val="24"/>
          <w:szCs w:val="24"/>
        </w:rPr>
        <w:lastRenderedPageBreak/>
        <w:t>INTRODUCTION</w:t>
      </w:r>
      <w:bookmarkEnd w:id="1"/>
      <w:r w:rsidRPr="003C7F6D">
        <w:rPr>
          <w:rStyle w:val="FootnoteReference"/>
          <w:sz w:val="24"/>
          <w:szCs w:val="24"/>
        </w:rPr>
        <w:footnoteReference w:id="2"/>
      </w:r>
      <w:bookmarkEnd w:id="2"/>
      <w:bookmarkEnd w:id="3"/>
      <w:bookmarkEnd w:id="4"/>
    </w:p>
    <w:p w14:paraId="428E7D6A" w14:textId="77777777" w:rsidR="00D7690A" w:rsidRDefault="00D7690A" w:rsidP="00754C38">
      <w:pPr>
        <w:pStyle w:val="BodyText"/>
        <w:rPr>
          <w:w w:val="105"/>
        </w:rPr>
      </w:pPr>
    </w:p>
    <w:p w14:paraId="41B95FF7" w14:textId="6F6E1815" w:rsidR="00754C38" w:rsidRDefault="008419F3" w:rsidP="00754C38">
      <w:pPr>
        <w:pStyle w:val="BodyText"/>
        <w:rPr>
          <w:w w:val="105"/>
        </w:rPr>
      </w:pPr>
      <w:r w:rsidRPr="003C7F6D">
        <w:rPr>
          <w:w w:val="105"/>
        </w:rPr>
        <w:t>BSI</w:t>
      </w:r>
      <w:r w:rsidR="002514B0">
        <w:rPr>
          <w:w w:val="105"/>
        </w:rPr>
        <w:t xml:space="preserve"> </w:t>
      </w:r>
      <w:r w:rsidRPr="003C7F6D">
        <w:rPr>
          <w:w w:val="105"/>
        </w:rPr>
        <w:t>proposes</w:t>
      </w:r>
      <w:r w:rsidR="002514B0">
        <w:rPr>
          <w:w w:val="105"/>
        </w:rPr>
        <w:t xml:space="preserve"> </w:t>
      </w:r>
      <w:r w:rsidRPr="003C7F6D">
        <w:rPr>
          <w:w w:val="105"/>
        </w:rPr>
        <w:t>Council</w:t>
      </w:r>
      <w:r w:rsidR="002514B0">
        <w:rPr>
          <w:w w:val="105"/>
        </w:rPr>
        <w:t xml:space="preserve"> </w:t>
      </w:r>
      <w:r w:rsidRPr="003C7F6D">
        <w:rPr>
          <w:w w:val="105"/>
        </w:rPr>
        <w:t>adoption</w:t>
      </w:r>
      <w:r w:rsidR="002514B0">
        <w:rPr>
          <w:w w:val="105"/>
        </w:rPr>
        <w:t xml:space="preserve"> </w:t>
      </w:r>
      <w:r w:rsidR="00473014">
        <w:rPr>
          <w:w w:val="105"/>
        </w:rPr>
        <w:t>of</w:t>
      </w:r>
      <w:r w:rsidR="002514B0">
        <w:rPr>
          <w:w w:val="105"/>
        </w:rPr>
        <w:t xml:space="preserve"> </w:t>
      </w:r>
      <w:r w:rsidRPr="003C7F6D">
        <w:rPr>
          <w:w w:val="105"/>
        </w:rPr>
        <w:t>Customer</w:t>
      </w:r>
      <w:r w:rsidR="002514B0">
        <w:rPr>
          <w:w w:val="105"/>
        </w:rPr>
        <w:t xml:space="preserve"> </w:t>
      </w:r>
      <w:r w:rsidRPr="003C7F6D">
        <w:rPr>
          <w:w w:val="105"/>
        </w:rPr>
        <w:t>Lowered</w:t>
      </w:r>
      <w:r w:rsidR="002514B0">
        <w:rPr>
          <w:w w:val="105"/>
        </w:rPr>
        <w:t xml:space="preserve"> </w:t>
      </w:r>
      <w:r w:rsidRPr="003C7F6D">
        <w:rPr>
          <w:w w:val="105"/>
        </w:rPr>
        <w:t>Electricity</w:t>
      </w:r>
      <w:r w:rsidR="002514B0">
        <w:rPr>
          <w:w w:val="105"/>
        </w:rPr>
        <w:t xml:space="preserve"> </w:t>
      </w:r>
      <w:r w:rsidRPr="003C7F6D">
        <w:rPr>
          <w:w w:val="105"/>
        </w:rPr>
        <w:t>Price</w:t>
      </w:r>
      <w:r w:rsidR="002514B0">
        <w:rPr>
          <w:w w:val="105"/>
        </w:rPr>
        <w:t xml:space="preserve"> </w:t>
      </w:r>
      <w:r w:rsidRPr="003C7F6D">
        <w:rPr>
          <w:w w:val="105"/>
        </w:rPr>
        <w:t>(CLEP</w:t>
      </w:r>
      <w:r w:rsidR="005067A6">
        <w:rPr>
          <w:w w:val="105"/>
        </w:rPr>
        <w:t>)</w:t>
      </w:r>
      <w:r w:rsidR="002514B0">
        <w:rPr>
          <w:w w:val="105"/>
        </w:rPr>
        <w:t xml:space="preserve"> </w:t>
      </w:r>
      <w:r w:rsidR="00987FCF" w:rsidRPr="003C7F6D">
        <w:rPr>
          <w:w w:val="105"/>
        </w:rPr>
        <w:t>rates</w:t>
      </w:r>
      <w:r w:rsidR="002514B0">
        <w:rPr>
          <w:w w:val="105"/>
        </w:rPr>
        <w:t xml:space="preserve"> </w:t>
      </w:r>
      <w:r w:rsidR="00987FCF" w:rsidRPr="003C7F6D">
        <w:rPr>
          <w:w w:val="105"/>
        </w:rPr>
        <w:t>and</w:t>
      </w:r>
      <w:r w:rsidR="002514B0">
        <w:rPr>
          <w:w w:val="105"/>
        </w:rPr>
        <w:t xml:space="preserve"> </w:t>
      </w:r>
      <w:r w:rsidR="00987FCF" w:rsidRPr="003C7F6D">
        <w:rPr>
          <w:w w:val="105"/>
        </w:rPr>
        <w:t>tariffs</w:t>
      </w:r>
      <w:r w:rsidR="002514B0">
        <w:rPr>
          <w:w w:val="105"/>
        </w:rPr>
        <w:t xml:space="preserve"> </w:t>
      </w:r>
      <w:r w:rsidR="00987FCF" w:rsidRPr="003C7F6D">
        <w:rPr>
          <w:w w:val="105"/>
        </w:rPr>
        <w:t>across</w:t>
      </w:r>
      <w:r w:rsidR="002514B0">
        <w:rPr>
          <w:w w:val="105"/>
        </w:rPr>
        <w:t xml:space="preserve"> </w:t>
      </w:r>
      <w:r w:rsidR="00987FCF" w:rsidRPr="003C7F6D">
        <w:rPr>
          <w:w w:val="105"/>
        </w:rPr>
        <w:t>all</w:t>
      </w:r>
      <w:r w:rsidR="002514B0">
        <w:rPr>
          <w:w w:val="105"/>
        </w:rPr>
        <w:t xml:space="preserve"> </w:t>
      </w:r>
      <w:r w:rsidR="00987FCF" w:rsidRPr="003C7F6D">
        <w:rPr>
          <w:w w:val="105"/>
        </w:rPr>
        <w:t>customer</w:t>
      </w:r>
      <w:r w:rsidR="002514B0">
        <w:rPr>
          <w:w w:val="105"/>
        </w:rPr>
        <w:t xml:space="preserve"> </w:t>
      </w:r>
      <w:r w:rsidR="00987FCF" w:rsidRPr="003C7F6D">
        <w:rPr>
          <w:w w:val="105"/>
        </w:rPr>
        <w:t>classes</w:t>
      </w:r>
      <w:r w:rsidR="002514B0">
        <w:rPr>
          <w:w w:val="105"/>
        </w:rPr>
        <w:t xml:space="preserve"> </w:t>
      </w:r>
      <w:r w:rsidR="00987FCF" w:rsidRPr="003C7F6D">
        <w:rPr>
          <w:w w:val="105"/>
        </w:rPr>
        <w:t>and</w:t>
      </w:r>
      <w:r w:rsidR="002514B0">
        <w:rPr>
          <w:w w:val="105"/>
        </w:rPr>
        <w:t xml:space="preserve"> </w:t>
      </w:r>
      <w:r w:rsidR="00987FCF" w:rsidRPr="003C7F6D">
        <w:rPr>
          <w:w w:val="105"/>
        </w:rPr>
        <w:t>all</w:t>
      </w:r>
      <w:r w:rsidR="002514B0">
        <w:rPr>
          <w:w w:val="105"/>
        </w:rPr>
        <w:t xml:space="preserve"> </w:t>
      </w:r>
      <w:r w:rsidR="00987FCF" w:rsidRPr="003C7F6D">
        <w:rPr>
          <w:w w:val="105"/>
        </w:rPr>
        <w:t>ratepayers</w:t>
      </w:r>
      <w:r w:rsidR="0039765C">
        <w:rPr>
          <w:w w:val="105"/>
        </w:rPr>
        <w:t>.</w:t>
      </w:r>
      <w:r w:rsidR="005067A6">
        <w:rPr>
          <w:rStyle w:val="FootnoteReference"/>
          <w:w w:val="105"/>
        </w:rPr>
        <w:footnoteReference w:id="3"/>
      </w:r>
    </w:p>
    <w:p w14:paraId="6D9ECFE4" w14:textId="77777777" w:rsidR="00D7690A" w:rsidRDefault="00D7690A" w:rsidP="00754C38">
      <w:pPr>
        <w:pStyle w:val="BodyText"/>
        <w:rPr>
          <w:w w:val="105"/>
        </w:rPr>
      </w:pPr>
    </w:p>
    <w:p w14:paraId="537E02E2" w14:textId="5F6B1310" w:rsidR="00987FCF" w:rsidRPr="009173D4" w:rsidRDefault="008419F3" w:rsidP="00754C38">
      <w:pPr>
        <w:pStyle w:val="BodyText"/>
        <w:rPr>
          <w:b/>
          <w:bCs/>
        </w:rPr>
      </w:pPr>
      <w:r w:rsidRPr="009173D4">
        <w:rPr>
          <w:b/>
          <w:bCs/>
        </w:rPr>
        <w:t>To</w:t>
      </w:r>
      <w:r w:rsidR="002514B0" w:rsidRPr="009173D4">
        <w:rPr>
          <w:b/>
          <w:bCs/>
        </w:rPr>
        <w:t xml:space="preserve"> </w:t>
      </w:r>
      <w:r w:rsidRPr="009173D4">
        <w:rPr>
          <w:b/>
          <w:bCs/>
        </w:rPr>
        <w:t>the</w:t>
      </w:r>
      <w:r w:rsidR="002514B0" w:rsidRPr="009173D4">
        <w:rPr>
          <w:b/>
          <w:bCs/>
        </w:rPr>
        <w:t xml:space="preserve"> </w:t>
      </w:r>
      <w:r w:rsidRPr="009173D4">
        <w:rPr>
          <w:b/>
          <w:bCs/>
        </w:rPr>
        <w:t>average</w:t>
      </w:r>
      <w:r w:rsidR="002514B0" w:rsidRPr="009173D4">
        <w:rPr>
          <w:b/>
          <w:bCs/>
        </w:rPr>
        <w:t xml:space="preserve"> </w:t>
      </w:r>
      <w:r w:rsidRPr="009173D4">
        <w:rPr>
          <w:b/>
          <w:bCs/>
        </w:rPr>
        <w:t>customer,</w:t>
      </w:r>
      <w:r w:rsidR="002514B0" w:rsidRPr="009173D4">
        <w:rPr>
          <w:b/>
          <w:bCs/>
        </w:rPr>
        <w:t xml:space="preserve"> </w:t>
      </w:r>
      <w:r w:rsidRPr="009173D4">
        <w:rPr>
          <w:b/>
          <w:bCs/>
        </w:rPr>
        <w:t>CLEP</w:t>
      </w:r>
      <w:r w:rsidR="002514B0" w:rsidRPr="009173D4">
        <w:rPr>
          <w:b/>
          <w:bCs/>
        </w:rPr>
        <w:t xml:space="preserve"> </w:t>
      </w:r>
      <w:r w:rsidR="00142AED">
        <w:rPr>
          <w:b/>
          <w:bCs/>
        </w:rPr>
        <w:t xml:space="preserve">simply </w:t>
      </w:r>
      <w:r w:rsidR="00987FCF" w:rsidRPr="009173D4">
        <w:rPr>
          <w:b/>
          <w:bCs/>
        </w:rPr>
        <w:t>means</w:t>
      </w:r>
      <w:r w:rsidR="00F912A5" w:rsidRPr="009173D4">
        <w:rPr>
          <w:b/>
          <w:bCs/>
        </w:rPr>
        <w:t>:</w:t>
      </w:r>
      <w:r w:rsidR="002514B0" w:rsidRPr="009173D4">
        <w:rPr>
          <w:b/>
          <w:bCs/>
        </w:rPr>
        <w:t xml:space="preserve"> </w:t>
      </w:r>
      <w:r w:rsidRPr="009173D4">
        <w:rPr>
          <w:b/>
          <w:bCs/>
        </w:rPr>
        <w:t>buy</w:t>
      </w:r>
      <w:r w:rsidR="00093C8E">
        <w:rPr>
          <w:b/>
          <w:bCs/>
        </w:rPr>
        <w:t>ing</w:t>
      </w:r>
      <w:r w:rsidR="002514B0" w:rsidRPr="009173D4">
        <w:rPr>
          <w:b/>
          <w:bCs/>
        </w:rPr>
        <w:t xml:space="preserve"> </w:t>
      </w:r>
      <w:r w:rsidRPr="009173D4">
        <w:rPr>
          <w:b/>
          <w:bCs/>
        </w:rPr>
        <w:t>electricity</w:t>
      </w:r>
      <w:r w:rsidR="002514B0" w:rsidRPr="009173D4">
        <w:rPr>
          <w:b/>
          <w:bCs/>
        </w:rPr>
        <w:t xml:space="preserve"> </w:t>
      </w:r>
      <w:r w:rsidRPr="009173D4">
        <w:rPr>
          <w:b/>
          <w:bCs/>
          <w:szCs w:val="24"/>
        </w:rPr>
        <w:t>when</w:t>
      </w:r>
      <w:r w:rsidR="002514B0" w:rsidRPr="009173D4">
        <w:rPr>
          <w:b/>
          <w:bCs/>
          <w:szCs w:val="24"/>
        </w:rPr>
        <w:t xml:space="preserve"> </w:t>
      </w:r>
      <w:r w:rsidRPr="009173D4">
        <w:rPr>
          <w:b/>
          <w:bCs/>
        </w:rPr>
        <w:t>it</w:t>
      </w:r>
      <w:r w:rsidR="002514B0" w:rsidRPr="009173D4">
        <w:rPr>
          <w:b/>
          <w:bCs/>
        </w:rPr>
        <w:t xml:space="preserve"> </w:t>
      </w:r>
      <w:r w:rsidRPr="009173D4">
        <w:rPr>
          <w:b/>
          <w:bCs/>
        </w:rPr>
        <w:t>is</w:t>
      </w:r>
      <w:r w:rsidR="002514B0" w:rsidRPr="009173D4">
        <w:rPr>
          <w:b/>
          <w:bCs/>
        </w:rPr>
        <w:t xml:space="preserve"> </w:t>
      </w:r>
      <w:r w:rsidR="00093C8E">
        <w:rPr>
          <w:b/>
          <w:bCs/>
        </w:rPr>
        <w:t>less expensive</w:t>
      </w:r>
      <w:r w:rsidR="002514B0" w:rsidRPr="009173D4">
        <w:rPr>
          <w:b/>
          <w:bCs/>
        </w:rPr>
        <w:t xml:space="preserve"> </w:t>
      </w:r>
      <w:r w:rsidR="00987FCF" w:rsidRPr="009173D4">
        <w:rPr>
          <w:b/>
          <w:bCs/>
        </w:rPr>
        <w:t>and</w:t>
      </w:r>
      <w:r w:rsidR="002514B0" w:rsidRPr="009173D4">
        <w:rPr>
          <w:b/>
          <w:bCs/>
        </w:rPr>
        <w:t xml:space="preserve"> </w:t>
      </w:r>
      <w:r w:rsidR="00987FCF" w:rsidRPr="009173D4">
        <w:rPr>
          <w:b/>
          <w:bCs/>
        </w:rPr>
        <w:t>then</w:t>
      </w:r>
      <w:r w:rsidR="002514B0" w:rsidRPr="009173D4">
        <w:rPr>
          <w:b/>
          <w:bCs/>
        </w:rPr>
        <w:t xml:space="preserve"> </w:t>
      </w:r>
      <w:r w:rsidRPr="009173D4">
        <w:rPr>
          <w:b/>
          <w:bCs/>
        </w:rPr>
        <w:t>get</w:t>
      </w:r>
      <w:r w:rsidR="00093C8E">
        <w:rPr>
          <w:b/>
          <w:bCs/>
        </w:rPr>
        <w:t>ting</w:t>
      </w:r>
      <w:r w:rsidR="002514B0" w:rsidRPr="009173D4">
        <w:rPr>
          <w:b/>
          <w:bCs/>
        </w:rPr>
        <w:t xml:space="preserve"> </w:t>
      </w:r>
      <w:r w:rsidRPr="009173D4">
        <w:rPr>
          <w:b/>
          <w:bCs/>
        </w:rPr>
        <w:t>paid</w:t>
      </w:r>
      <w:r w:rsidR="002514B0" w:rsidRPr="009173D4">
        <w:rPr>
          <w:b/>
          <w:bCs/>
        </w:rPr>
        <w:t xml:space="preserve"> </w:t>
      </w:r>
      <w:r w:rsidRPr="009173D4">
        <w:rPr>
          <w:b/>
          <w:bCs/>
        </w:rPr>
        <w:t>almost</w:t>
      </w:r>
      <w:r w:rsidR="002514B0" w:rsidRPr="009173D4">
        <w:rPr>
          <w:b/>
          <w:bCs/>
        </w:rPr>
        <w:t xml:space="preserve"> </w:t>
      </w:r>
      <w:r w:rsidR="00093C8E">
        <w:rPr>
          <w:b/>
          <w:bCs/>
        </w:rPr>
        <w:t>all</w:t>
      </w:r>
      <w:r w:rsidR="002514B0" w:rsidRPr="009173D4">
        <w:rPr>
          <w:b/>
          <w:bCs/>
        </w:rPr>
        <w:t xml:space="preserve"> </w:t>
      </w:r>
      <w:r w:rsidR="00987FCF" w:rsidRPr="009173D4">
        <w:rPr>
          <w:b/>
          <w:bCs/>
        </w:rPr>
        <w:t>the</w:t>
      </w:r>
      <w:r w:rsidR="002514B0" w:rsidRPr="009173D4">
        <w:rPr>
          <w:b/>
          <w:bCs/>
        </w:rPr>
        <w:t xml:space="preserve"> </w:t>
      </w:r>
      <w:r w:rsidRPr="009173D4">
        <w:rPr>
          <w:b/>
          <w:bCs/>
        </w:rPr>
        <w:t>avoided</w:t>
      </w:r>
      <w:r w:rsidR="002514B0" w:rsidRPr="009173D4">
        <w:rPr>
          <w:b/>
          <w:bCs/>
        </w:rPr>
        <w:t xml:space="preserve"> </w:t>
      </w:r>
      <w:r w:rsidRPr="009173D4">
        <w:rPr>
          <w:b/>
          <w:bCs/>
        </w:rPr>
        <w:t>costs</w:t>
      </w:r>
      <w:r w:rsidR="002514B0" w:rsidRPr="009173D4">
        <w:rPr>
          <w:b/>
          <w:bCs/>
        </w:rPr>
        <w:t xml:space="preserve"> </w:t>
      </w:r>
      <w:r w:rsidR="00987FCF" w:rsidRPr="009173D4">
        <w:rPr>
          <w:b/>
          <w:bCs/>
        </w:rPr>
        <w:t>of</w:t>
      </w:r>
      <w:r w:rsidR="002514B0" w:rsidRPr="009173D4">
        <w:rPr>
          <w:b/>
          <w:bCs/>
        </w:rPr>
        <w:t xml:space="preserve"> </w:t>
      </w:r>
      <w:r w:rsidRPr="009173D4">
        <w:rPr>
          <w:b/>
          <w:bCs/>
        </w:rPr>
        <w:t>the</w:t>
      </w:r>
      <w:r w:rsidR="002514B0" w:rsidRPr="009173D4">
        <w:rPr>
          <w:b/>
          <w:bCs/>
        </w:rPr>
        <w:t xml:space="preserve"> </w:t>
      </w:r>
      <w:r w:rsidRPr="009173D4">
        <w:rPr>
          <w:b/>
          <w:bCs/>
        </w:rPr>
        <w:t>utility</w:t>
      </w:r>
      <w:r w:rsidR="002514B0" w:rsidRPr="009173D4">
        <w:rPr>
          <w:b/>
          <w:bCs/>
        </w:rPr>
        <w:t xml:space="preserve"> </w:t>
      </w:r>
      <w:r w:rsidRPr="009173D4">
        <w:rPr>
          <w:b/>
          <w:bCs/>
        </w:rPr>
        <w:t>that</w:t>
      </w:r>
      <w:r w:rsidR="002514B0" w:rsidRPr="009173D4">
        <w:rPr>
          <w:b/>
          <w:bCs/>
        </w:rPr>
        <w:t xml:space="preserve"> </w:t>
      </w:r>
      <w:r w:rsidRPr="009173D4">
        <w:rPr>
          <w:b/>
          <w:bCs/>
        </w:rPr>
        <w:t>this</w:t>
      </w:r>
      <w:r w:rsidR="002514B0" w:rsidRPr="009173D4">
        <w:rPr>
          <w:b/>
          <w:bCs/>
        </w:rPr>
        <w:t xml:space="preserve"> </w:t>
      </w:r>
      <w:r w:rsidRPr="009173D4">
        <w:rPr>
          <w:b/>
          <w:bCs/>
        </w:rPr>
        <w:t>generates.</w:t>
      </w:r>
      <w:r w:rsidR="002514B0" w:rsidRPr="009173D4">
        <w:rPr>
          <w:b/>
          <w:bCs/>
        </w:rPr>
        <w:t xml:space="preserve"> </w:t>
      </w:r>
    </w:p>
    <w:p w14:paraId="3D1BEA65" w14:textId="77777777" w:rsidR="00D7690A" w:rsidRDefault="00D7690A" w:rsidP="00754C38">
      <w:pPr>
        <w:pStyle w:val="BodyText"/>
      </w:pPr>
    </w:p>
    <w:p w14:paraId="307EE46F" w14:textId="6EC4A471" w:rsidR="008419F3" w:rsidRPr="003C7F6D" w:rsidRDefault="008419F3" w:rsidP="00754C38">
      <w:pPr>
        <w:pStyle w:val="BodyText"/>
        <w:rPr>
          <w:w w:val="105"/>
        </w:rPr>
      </w:pPr>
      <w:r>
        <w:t>This</w:t>
      </w:r>
      <w:r w:rsidR="002514B0">
        <w:t xml:space="preserve"> </w:t>
      </w:r>
      <w:r>
        <w:t>simple</w:t>
      </w:r>
      <w:r w:rsidR="002514B0">
        <w:t xml:space="preserve"> </w:t>
      </w:r>
      <w:r>
        <w:t>but</w:t>
      </w:r>
      <w:r w:rsidR="002514B0">
        <w:t xml:space="preserve"> </w:t>
      </w:r>
      <w:r>
        <w:t>powerful</w:t>
      </w:r>
      <w:r w:rsidR="002514B0">
        <w:t xml:space="preserve"> </w:t>
      </w:r>
      <w:r>
        <w:t>message</w:t>
      </w:r>
      <w:r w:rsidR="002514B0">
        <w:t xml:space="preserve"> </w:t>
      </w:r>
      <w:r>
        <w:t>has</w:t>
      </w:r>
      <w:r w:rsidR="002514B0">
        <w:t xml:space="preserve"> </w:t>
      </w:r>
      <w:r>
        <w:t>been</w:t>
      </w:r>
      <w:r w:rsidR="002514B0">
        <w:t xml:space="preserve"> </w:t>
      </w:r>
      <w:r>
        <w:t>deemed</w:t>
      </w:r>
      <w:r w:rsidR="002514B0">
        <w:t xml:space="preserve"> </w:t>
      </w:r>
      <w:r>
        <w:t>important</w:t>
      </w:r>
      <w:r w:rsidR="002514B0">
        <w:t xml:space="preserve"> </w:t>
      </w:r>
      <w:r>
        <w:t>enough</w:t>
      </w:r>
      <w:r w:rsidR="002514B0">
        <w:t xml:space="preserve"> </w:t>
      </w:r>
      <w:r>
        <w:t>by</w:t>
      </w:r>
      <w:r w:rsidR="002514B0">
        <w:t xml:space="preserve"> </w:t>
      </w:r>
      <w:r>
        <w:t>our</w:t>
      </w:r>
      <w:r w:rsidR="002514B0">
        <w:t xml:space="preserve"> </w:t>
      </w:r>
      <w:r w:rsidR="00F912A5">
        <w:t>local</w:t>
      </w:r>
      <w:r w:rsidR="002514B0">
        <w:t xml:space="preserve"> </w:t>
      </w:r>
      <w:r>
        <w:t>Sierra</w:t>
      </w:r>
      <w:r w:rsidR="002514B0">
        <w:t xml:space="preserve"> </w:t>
      </w:r>
      <w:r>
        <w:t>Club</w:t>
      </w:r>
      <w:r w:rsidR="002514B0">
        <w:t xml:space="preserve"> </w:t>
      </w:r>
      <w:r>
        <w:t>to</w:t>
      </w:r>
      <w:r w:rsidR="002514B0">
        <w:t xml:space="preserve"> </w:t>
      </w:r>
      <w:r w:rsidR="00987FCF">
        <w:t>receive</w:t>
      </w:r>
      <w:r w:rsidR="002514B0">
        <w:t xml:space="preserve"> </w:t>
      </w:r>
      <w:r>
        <w:t>the</w:t>
      </w:r>
      <w:r w:rsidR="002514B0">
        <w:t xml:space="preserve"> </w:t>
      </w:r>
      <w:r>
        <w:t>following</w:t>
      </w:r>
      <w:r w:rsidR="002514B0">
        <w:t xml:space="preserve"> </w:t>
      </w:r>
      <w:r>
        <w:t>endorsement:</w:t>
      </w:r>
      <w:r w:rsidR="002514B0">
        <w:t xml:space="preserve"> </w:t>
      </w:r>
    </w:p>
    <w:p w14:paraId="0F0E4FDE" w14:textId="1AB03269" w:rsidR="008419F3" w:rsidRDefault="008419F3" w:rsidP="008419F3">
      <w:pPr>
        <w:pStyle w:val="Quote"/>
      </w:pPr>
      <w:r w:rsidRPr="003C7F6D">
        <w:t>The</w:t>
      </w:r>
      <w:r w:rsidR="002514B0">
        <w:t xml:space="preserve"> </w:t>
      </w:r>
      <w:r w:rsidRPr="003C7F6D">
        <w:t>Delta</w:t>
      </w:r>
      <w:r w:rsidR="002514B0">
        <w:t xml:space="preserve"> </w:t>
      </w:r>
      <w:r w:rsidRPr="003C7F6D">
        <w:t>Chapter</w:t>
      </w:r>
      <w:r w:rsidR="002514B0">
        <w:t xml:space="preserve"> </w:t>
      </w:r>
      <w:r w:rsidRPr="003C7F6D">
        <w:t>New</w:t>
      </w:r>
      <w:r w:rsidR="002514B0">
        <w:t xml:space="preserve"> </w:t>
      </w:r>
      <w:r w:rsidRPr="003C7F6D">
        <w:t>Orleans</w:t>
      </w:r>
      <w:r w:rsidR="002514B0">
        <w:t xml:space="preserve"> </w:t>
      </w:r>
      <w:r w:rsidRPr="003C7F6D">
        <w:t>Group</w:t>
      </w:r>
      <w:r>
        <w:t>,</w:t>
      </w:r>
      <w:r w:rsidR="002514B0">
        <w:t xml:space="preserve"> </w:t>
      </w:r>
      <w:r w:rsidRPr="003C7F6D">
        <w:t>Excom</w:t>
      </w:r>
      <w:r>
        <w:t>,</w:t>
      </w:r>
      <w:r w:rsidR="002514B0">
        <w:t xml:space="preserve"> </w:t>
      </w:r>
      <w:r w:rsidRPr="003C7F6D">
        <w:t>voted</w:t>
      </w:r>
      <w:r w:rsidR="002514B0">
        <w:t xml:space="preserve"> </w:t>
      </w:r>
      <w:r w:rsidRPr="003C7F6D">
        <w:t>two</w:t>
      </w:r>
      <w:r w:rsidR="002514B0">
        <w:t xml:space="preserve"> </w:t>
      </w:r>
      <w:r w:rsidRPr="003C7F6D">
        <w:t>years</w:t>
      </w:r>
      <w:r w:rsidR="002514B0">
        <w:t xml:space="preserve"> </w:t>
      </w:r>
      <w:r w:rsidRPr="003C7F6D">
        <w:t>ago</w:t>
      </w:r>
      <w:r w:rsidR="002514B0">
        <w:t xml:space="preserve"> </w:t>
      </w:r>
      <w:r w:rsidRPr="003C7F6D">
        <w:t>to</w:t>
      </w:r>
      <w:r w:rsidR="002514B0">
        <w:t xml:space="preserve"> </w:t>
      </w:r>
      <w:r w:rsidRPr="003C7F6D">
        <w:t>support</w:t>
      </w:r>
      <w:r w:rsidR="002514B0">
        <w:t xml:space="preserve"> </w:t>
      </w:r>
      <w:r w:rsidRPr="003C7F6D">
        <w:t>CLEP</w:t>
      </w:r>
      <w:r w:rsidR="002514B0">
        <w:t xml:space="preserve"> </w:t>
      </w:r>
      <w:r w:rsidRPr="003C7F6D">
        <w:t>and</w:t>
      </w:r>
      <w:r w:rsidR="002514B0">
        <w:t xml:space="preserve"> </w:t>
      </w:r>
      <w:r w:rsidRPr="003C7F6D">
        <w:t>I</w:t>
      </w:r>
      <w:r w:rsidR="002514B0">
        <w:t xml:space="preserve"> </w:t>
      </w:r>
      <w:r w:rsidRPr="003C7F6D">
        <w:t>have</w:t>
      </w:r>
      <w:r w:rsidR="002514B0">
        <w:t xml:space="preserve"> </w:t>
      </w:r>
      <w:r w:rsidRPr="003C7F6D">
        <w:t>been</w:t>
      </w:r>
      <w:r w:rsidR="002514B0">
        <w:t xml:space="preserve"> </w:t>
      </w:r>
      <w:r w:rsidRPr="003C7F6D">
        <w:t>involved</w:t>
      </w:r>
      <w:r w:rsidR="002514B0">
        <w:t xml:space="preserve"> </w:t>
      </w:r>
      <w:r w:rsidRPr="003C7F6D">
        <w:t>with</w:t>
      </w:r>
      <w:r w:rsidR="002514B0">
        <w:t xml:space="preserve"> </w:t>
      </w:r>
      <w:r w:rsidRPr="003C7F6D">
        <w:t>the</w:t>
      </w:r>
      <w:r w:rsidR="002514B0">
        <w:t xml:space="preserve"> </w:t>
      </w:r>
      <w:r w:rsidRPr="003C7F6D">
        <w:t>CLEP</w:t>
      </w:r>
      <w:r w:rsidR="002514B0">
        <w:t xml:space="preserve"> </w:t>
      </w:r>
      <w:r w:rsidRPr="003C7F6D">
        <w:t>team</w:t>
      </w:r>
      <w:r w:rsidR="002514B0">
        <w:t xml:space="preserve"> </w:t>
      </w:r>
      <w:r w:rsidRPr="003C7F6D">
        <w:t>for</w:t>
      </w:r>
      <w:r w:rsidR="002514B0">
        <w:t xml:space="preserve"> </w:t>
      </w:r>
      <w:r w:rsidRPr="003C7F6D">
        <w:t>two</w:t>
      </w:r>
      <w:r w:rsidR="002514B0">
        <w:t xml:space="preserve"> </w:t>
      </w:r>
      <w:r w:rsidRPr="003C7F6D">
        <w:t>years</w:t>
      </w:r>
      <w:r w:rsidR="002514B0">
        <w:t xml:space="preserve"> </w:t>
      </w:r>
      <w:r w:rsidRPr="003C7F6D">
        <w:t>and</w:t>
      </w:r>
      <w:r w:rsidR="002514B0">
        <w:t xml:space="preserve"> </w:t>
      </w:r>
      <w:r w:rsidRPr="003C7F6D">
        <w:t>I</w:t>
      </w:r>
      <w:r w:rsidR="002514B0">
        <w:t xml:space="preserve"> </w:t>
      </w:r>
      <w:r w:rsidRPr="003C7F6D">
        <w:t>spoke</w:t>
      </w:r>
      <w:r w:rsidR="002514B0">
        <w:t xml:space="preserve"> </w:t>
      </w:r>
      <w:r w:rsidRPr="003C7F6D">
        <w:t>at</w:t>
      </w:r>
      <w:r w:rsidR="002514B0">
        <w:t xml:space="preserve"> </w:t>
      </w:r>
      <w:r w:rsidRPr="003C7F6D">
        <w:t>the</w:t>
      </w:r>
      <w:r w:rsidR="002514B0">
        <w:t xml:space="preserve"> </w:t>
      </w:r>
      <w:r w:rsidRPr="003C7F6D">
        <w:t>rate</w:t>
      </w:r>
      <w:r w:rsidR="002514B0">
        <w:t xml:space="preserve"> </w:t>
      </w:r>
      <w:r w:rsidRPr="003C7F6D">
        <w:t>case</w:t>
      </w:r>
      <w:r w:rsidR="002514B0">
        <w:t xml:space="preserve"> </w:t>
      </w:r>
      <w:r w:rsidRPr="003C7F6D">
        <w:t>evidentiary</w:t>
      </w:r>
      <w:r w:rsidR="002514B0">
        <w:t xml:space="preserve"> </w:t>
      </w:r>
      <w:r w:rsidRPr="003C7F6D">
        <w:t>hearing.</w:t>
      </w:r>
      <w:r w:rsidR="002514B0">
        <w:t xml:space="preserve"> </w:t>
      </w:r>
      <w:r w:rsidRPr="003C7F6D">
        <w:t>The</w:t>
      </w:r>
      <w:r w:rsidR="002514B0">
        <w:t xml:space="preserve"> </w:t>
      </w:r>
      <w:r w:rsidRPr="003C7F6D">
        <w:t>CLEP</w:t>
      </w:r>
      <w:r w:rsidR="002514B0">
        <w:t xml:space="preserve"> </w:t>
      </w:r>
      <w:r w:rsidRPr="003C7F6D">
        <w:t>Desktop</w:t>
      </w:r>
      <w:r w:rsidR="002514B0">
        <w:t xml:space="preserve"> </w:t>
      </w:r>
      <w:r w:rsidRPr="003C7F6D">
        <w:t>software</w:t>
      </w:r>
      <w:r w:rsidR="002514B0">
        <w:t xml:space="preserve"> </w:t>
      </w:r>
      <w:r w:rsidRPr="003C7F6D">
        <w:t>demonstrates</w:t>
      </w:r>
      <w:r w:rsidR="002514B0">
        <w:t xml:space="preserve"> </w:t>
      </w:r>
      <w:r w:rsidRPr="003C7F6D">
        <w:t>that</w:t>
      </w:r>
      <w:r w:rsidR="002514B0">
        <w:t xml:space="preserve"> </w:t>
      </w:r>
      <w:r w:rsidRPr="003C7F6D">
        <w:t>CLEP</w:t>
      </w:r>
      <w:r w:rsidR="002514B0">
        <w:t xml:space="preserve"> </w:t>
      </w:r>
      <w:r w:rsidRPr="003C7F6D">
        <w:t>will</w:t>
      </w:r>
      <w:r w:rsidR="002514B0">
        <w:t xml:space="preserve"> </w:t>
      </w:r>
      <w:r w:rsidRPr="003C7F6D">
        <w:t>reward</w:t>
      </w:r>
      <w:r w:rsidR="002514B0">
        <w:t xml:space="preserve"> </w:t>
      </w:r>
      <w:r w:rsidRPr="003C7F6D">
        <w:t>customers</w:t>
      </w:r>
      <w:r w:rsidR="002514B0">
        <w:t xml:space="preserve"> </w:t>
      </w:r>
      <w:r w:rsidRPr="003C7F6D">
        <w:t>who</w:t>
      </w:r>
      <w:r w:rsidR="002514B0">
        <w:t xml:space="preserve"> </w:t>
      </w:r>
      <w:r w:rsidRPr="003C7F6D">
        <w:t>shift</w:t>
      </w:r>
      <w:r w:rsidR="002514B0">
        <w:t xml:space="preserve"> </w:t>
      </w:r>
      <w:r w:rsidRPr="003C7F6D">
        <w:t>usage</w:t>
      </w:r>
      <w:r w:rsidR="002514B0">
        <w:t xml:space="preserve"> </w:t>
      </w:r>
      <w:r w:rsidRPr="003C7F6D">
        <w:t>to</w:t>
      </w:r>
      <w:r w:rsidR="002514B0">
        <w:t xml:space="preserve"> </w:t>
      </w:r>
      <w:r w:rsidRPr="003C7F6D">
        <w:t>off</w:t>
      </w:r>
      <w:r w:rsidR="002514B0">
        <w:t xml:space="preserve"> </w:t>
      </w:r>
      <w:r w:rsidRPr="003C7F6D">
        <w:t>peak</w:t>
      </w:r>
      <w:r w:rsidR="002514B0">
        <w:t xml:space="preserve"> </w:t>
      </w:r>
      <w:r w:rsidRPr="003C7F6D">
        <w:t>hours.</w:t>
      </w:r>
      <w:r w:rsidR="002514B0">
        <w:t xml:space="preserve"> </w:t>
      </w:r>
      <w:r w:rsidRPr="003C7F6D">
        <w:t>It</w:t>
      </w:r>
      <w:r w:rsidR="002514B0">
        <w:t xml:space="preserve"> </w:t>
      </w:r>
      <w:r w:rsidRPr="003C7F6D">
        <w:t>provides</w:t>
      </w:r>
      <w:r w:rsidR="002514B0">
        <w:t xml:space="preserve"> </w:t>
      </w:r>
      <w:r w:rsidRPr="003C7F6D">
        <w:t>an</w:t>
      </w:r>
      <w:r w:rsidR="002514B0">
        <w:t xml:space="preserve"> </w:t>
      </w:r>
      <w:r w:rsidRPr="003C7F6D">
        <w:t>incentive</w:t>
      </w:r>
      <w:r w:rsidR="002514B0">
        <w:t xml:space="preserve"> </w:t>
      </w:r>
      <w:r w:rsidRPr="003C7F6D">
        <w:t>to</w:t>
      </w:r>
      <w:r w:rsidR="002514B0">
        <w:t xml:space="preserve"> </w:t>
      </w:r>
      <w:r w:rsidRPr="003C7F6D">
        <w:t>customers,</w:t>
      </w:r>
      <w:r w:rsidR="002514B0">
        <w:t xml:space="preserve"> </w:t>
      </w:r>
      <w:r w:rsidRPr="003C7F6D">
        <w:t>at</w:t>
      </w:r>
      <w:r w:rsidR="002514B0">
        <w:t xml:space="preserve"> </w:t>
      </w:r>
      <w:r w:rsidRPr="003C7F6D">
        <w:t>no</w:t>
      </w:r>
      <w:r w:rsidR="002514B0">
        <w:t xml:space="preserve"> </w:t>
      </w:r>
      <w:r w:rsidRPr="003C7F6D">
        <w:t>cost</w:t>
      </w:r>
      <w:r w:rsidR="002514B0">
        <w:t xml:space="preserve"> </w:t>
      </w:r>
      <w:r w:rsidRPr="003C7F6D">
        <w:t>to</w:t>
      </w:r>
      <w:r w:rsidR="002514B0">
        <w:t xml:space="preserve"> </w:t>
      </w:r>
      <w:r w:rsidRPr="003C7F6D">
        <w:t>ratepayers,</w:t>
      </w:r>
      <w:r w:rsidR="002514B0">
        <w:t xml:space="preserve"> </w:t>
      </w:r>
      <w:r w:rsidRPr="003C7F6D">
        <w:t>for</w:t>
      </w:r>
      <w:r w:rsidR="002514B0">
        <w:t xml:space="preserve"> </w:t>
      </w:r>
      <w:r w:rsidRPr="003C7F6D">
        <w:t>customers</w:t>
      </w:r>
      <w:r w:rsidR="002514B0">
        <w:t xml:space="preserve"> </w:t>
      </w:r>
      <w:r w:rsidRPr="003C7F6D">
        <w:t>to</w:t>
      </w:r>
      <w:r w:rsidR="002514B0">
        <w:t xml:space="preserve"> </w:t>
      </w:r>
      <w:r w:rsidRPr="003C7F6D">
        <w:t>make</w:t>
      </w:r>
      <w:r w:rsidR="002514B0">
        <w:t xml:space="preserve"> </w:t>
      </w:r>
      <w:r w:rsidRPr="003C7F6D">
        <w:t>investment</w:t>
      </w:r>
      <w:r w:rsidR="006261C2">
        <w:t>s</w:t>
      </w:r>
      <w:r w:rsidR="002514B0">
        <w:t xml:space="preserve"> </w:t>
      </w:r>
      <w:r w:rsidRPr="003C7F6D">
        <w:t>in</w:t>
      </w:r>
      <w:r w:rsidR="002514B0">
        <w:t xml:space="preserve"> </w:t>
      </w:r>
      <w:r w:rsidRPr="003C7F6D">
        <w:t>devices</w:t>
      </w:r>
      <w:r w:rsidR="002514B0">
        <w:t xml:space="preserve"> </w:t>
      </w:r>
      <w:r w:rsidRPr="003C7F6D">
        <w:t>that</w:t>
      </w:r>
      <w:r w:rsidR="002514B0">
        <w:t xml:space="preserve"> </w:t>
      </w:r>
      <w:r w:rsidRPr="003C7F6D">
        <w:t>reduce</w:t>
      </w:r>
      <w:r w:rsidR="002514B0">
        <w:t xml:space="preserve"> </w:t>
      </w:r>
      <w:r w:rsidRPr="003C7F6D">
        <w:t>peak</w:t>
      </w:r>
      <w:r w:rsidR="002514B0">
        <w:t xml:space="preserve"> </w:t>
      </w:r>
      <w:r w:rsidRPr="003C7F6D">
        <w:t>demand.</w:t>
      </w:r>
      <w:r w:rsidR="002514B0">
        <w:t xml:space="preserve"> </w:t>
      </w:r>
      <w:r w:rsidRPr="003C7F6D">
        <w:t>I</w:t>
      </w:r>
      <w:r w:rsidR="002514B0">
        <w:t xml:space="preserve"> </w:t>
      </w:r>
      <w:r w:rsidRPr="003C7F6D">
        <w:t>describe</w:t>
      </w:r>
      <w:r w:rsidR="002514B0">
        <w:t xml:space="preserve"> </w:t>
      </w:r>
      <w:r w:rsidRPr="003C7F6D">
        <w:t>it</w:t>
      </w:r>
      <w:r w:rsidR="002514B0">
        <w:t xml:space="preserve"> </w:t>
      </w:r>
      <w:r w:rsidRPr="003C7F6D">
        <w:t>as</w:t>
      </w:r>
      <w:r w:rsidR="002514B0">
        <w:t xml:space="preserve"> </w:t>
      </w:r>
      <w:r w:rsidRPr="003C7F6D">
        <w:t>a</w:t>
      </w:r>
      <w:r w:rsidR="002514B0">
        <w:t xml:space="preserve"> </w:t>
      </w:r>
      <w:r w:rsidRPr="003C7F6D">
        <w:t>sophisticated</w:t>
      </w:r>
      <w:r w:rsidR="002514B0">
        <w:t xml:space="preserve"> </w:t>
      </w:r>
      <w:r w:rsidRPr="003C7F6D">
        <w:t>time</w:t>
      </w:r>
      <w:r w:rsidR="002514B0">
        <w:t xml:space="preserve"> </w:t>
      </w:r>
      <w:r w:rsidRPr="003C7F6D">
        <w:t>of</w:t>
      </w:r>
      <w:r w:rsidR="002514B0">
        <w:t xml:space="preserve"> </w:t>
      </w:r>
      <w:r w:rsidRPr="003C7F6D">
        <w:t>use</w:t>
      </w:r>
      <w:r w:rsidR="002514B0">
        <w:t xml:space="preserve"> </w:t>
      </w:r>
      <w:r w:rsidRPr="003C7F6D">
        <w:t>rate,</w:t>
      </w:r>
      <w:r w:rsidR="002514B0">
        <w:t xml:space="preserve"> </w:t>
      </w:r>
      <w:r w:rsidRPr="003C7F6D">
        <w:t>which</w:t>
      </w:r>
      <w:r w:rsidR="002514B0">
        <w:t xml:space="preserve"> </w:t>
      </w:r>
      <w:r w:rsidRPr="003C7F6D">
        <w:t>has</w:t>
      </w:r>
      <w:r w:rsidR="002514B0">
        <w:t xml:space="preserve"> </w:t>
      </w:r>
      <w:r w:rsidRPr="003C7F6D">
        <w:t>been</w:t>
      </w:r>
      <w:r w:rsidR="002514B0">
        <w:t xml:space="preserve"> </w:t>
      </w:r>
      <w:r w:rsidRPr="003C7F6D">
        <w:t>successful</w:t>
      </w:r>
      <w:r w:rsidR="002514B0">
        <w:t xml:space="preserve"> </w:t>
      </w:r>
      <w:r w:rsidRPr="003C7F6D">
        <w:t>in</w:t>
      </w:r>
      <w:r w:rsidR="002514B0">
        <w:t xml:space="preserve"> </w:t>
      </w:r>
      <w:r w:rsidRPr="003C7F6D">
        <w:t>other</w:t>
      </w:r>
      <w:r w:rsidR="002514B0">
        <w:t xml:space="preserve"> </w:t>
      </w:r>
      <w:r w:rsidRPr="003C7F6D">
        <w:t>states.</w:t>
      </w:r>
      <w:r w:rsidR="002514B0">
        <w:t xml:space="preserve"> </w:t>
      </w:r>
      <w:r w:rsidRPr="003C7F6D">
        <w:t>The</w:t>
      </w:r>
      <w:r w:rsidR="002514B0">
        <w:t xml:space="preserve"> </w:t>
      </w:r>
      <w:r w:rsidRPr="003C7F6D">
        <w:t>CLEP</w:t>
      </w:r>
      <w:r w:rsidR="002514B0">
        <w:t xml:space="preserve"> </w:t>
      </w:r>
      <w:r w:rsidRPr="003C7F6D">
        <w:t>model</w:t>
      </w:r>
      <w:r w:rsidR="002514B0">
        <w:t xml:space="preserve"> </w:t>
      </w:r>
      <w:r w:rsidRPr="003C7F6D">
        <w:t>would</w:t>
      </w:r>
      <w:r w:rsidR="002514B0">
        <w:t xml:space="preserve"> </w:t>
      </w:r>
      <w:r w:rsidRPr="003C7F6D">
        <w:t>be</w:t>
      </w:r>
      <w:r w:rsidR="002514B0">
        <w:t xml:space="preserve"> </w:t>
      </w:r>
      <w:r w:rsidRPr="003C7F6D">
        <w:t>able</w:t>
      </w:r>
      <w:r w:rsidR="002514B0">
        <w:t xml:space="preserve"> </w:t>
      </w:r>
      <w:r w:rsidRPr="003C7F6D">
        <w:t>to</w:t>
      </w:r>
      <w:r w:rsidR="002514B0">
        <w:t xml:space="preserve"> </w:t>
      </w:r>
      <w:r>
        <w:t>be</w:t>
      </w:r>
      <w:r w:rsidR="002514B0">
        <w:t xml:space="preserve"> </w:t>
      </w:r>
      <w:r w:rsidRPr="003C7F6D">
        <w:t>introduce</w:t>
      </w:r>
      <w:r>
        <w:t>d</w:t>
      </w:r>
      <w:r w:rsidR="002514B0">
        <w:t xml:space="preserve"> </w:t>
      </w:r>
      <w:r w:rsidRPr="003C7F6D">
        <w:t>in</w:t>
      </w:r>
      <w:r w:rsidR="002514B0">
        <w:t xml:space="preserve"> </w:t>
      </w:r>
      <w:r w:rsidRPr="003C7F6D">
        <w:t>New</w:t>
      </w:r>
      <w:r w:rsidR="002514B0">
        <w:t xml:space="preserve"> </w:t>
      </w:r>
      <w:r w:rsidRPr="003C7F6D">
        <w:t>Orleans</w:t>
      </w:r>
      <w:r w:rsidR="002514B0">
        <w:t xml:space="preserve"> </w:t>
      </w:r>
      <w:r w:rsidRPr="003C7F6D">
        <w:t>because</w:t>
      </w:r>
      <w:r w:rsidR="002514B0">
        <w:t xml:space="preserve"> </w:t>
      </w:r>
      <w:r w:rsidRPr="003C7F6D">
        <w:t>we</w:t>
      </w:r>
      <w:r w:rsidR="002514B0">
        <w:t xml:space="preserve"> </w:t>
      </w:r>
      <w:r w:rsidRPr="003C7F6D">
        <w:t>are</w:t>
      </w:r>
      <w:r w:rsidR="002514B0">
        <w:t xml:space="preserve"> </w:t>
      </w:r>
      <w:r w:rsidRPr="003C7F6D">
        <w:t>already</w:t>
      </w:r>
      <w:r w:rsidR="002514B0">
        <w:t xml:space="preserve"> </w:t>
      </w:r>
      <w:r w:rsidRPr="003C7F6D">
        <w:t>doing</w:t>
      </w:r>
      <w:r w:rsidR="002514B0">
        <w:t xml:space="preserve"> </w:t>
      </w:r>
      <w:r w:rsidRPr="003C7F6D">
        <w:t>AMI</w:t>
      </w:r>
      <w:r w:rsidR="002514B0">
        <w:t xml:space="preserve"> </w:t>
      </w:r>
      <w:r w:rsidRPr="003C7F6D">
        <w:t>and</w:t>
      </w:r>
      <w:r w:rsidR="002514B0">
        <w:t xml:space="preserve"> </w:t>
      </w:r>
      <w:r w:rsidRPr="003C7F6D">
        <w:t>our</w:t>
      </w:r>
      <w:r w:rsidR="002514B0">
        <w:t xml:space="preserve"> </w:t>
      </w:r>
      <w:r w:rsidRPr="003C7F6D">
        <w:t>customer</w:t>
      </w:r>
      <w:r w:rsidR="002514B0">
        <w:t xml:space="preserve"> </w:t>
      </w:r>
      <w:r w:rsidRPr="003C7F6D">
        <w:t>market</w:t>
      </w:r>
      <w:r w:rsidR="002514B0">
        <w:t xml:space="preserve"> </w:t>
      </w:r>
      <w:r w:rsidRPr="003C7F6D">
        <w:t>is</w:t>
      </w:r>
      <w:r w:rsidR="002514B0">
        <w:t xml:space="preserve"> </w:t>
      </w:r>
      <w:r w:rsidRPr="003C7F6D">
        <w:t>under</w:t>
      </w:r>
      <w:r w:rsidR="002514B0">
        <w:t xml:space="preserve"> </w:t>
      </w:r>
      <w:r w:rsidRPr="003C7F6D">
        <w:t>half</w:t>
      </w:r>
      <w:r w:rsidR="002514B0">
        <w:t xml:space="preserve"> </w:t>
      </w:r>
      <w:r w:rsidRPr="003C7F6D">
        <w:t>a</w:t>
      </w:r>
      <w:r w:rsidR="002514B0">
        <w:t xml:space="preserve"> </w:t>
      </w:r>
      <w:r w:rsidRPr="003C7F6D">
        <w:t>million.</w:t>
      </w:r>
      <w:r w:rsidR="002514B0">
        <w:t xml:space="preserve"> </w:t>
      </w:r>
      <w:r w:rsidRPr="003C7F6D">
        <w:t>The</w:t>
      </w:r>
      <w:r w:rsidR="002514B0">
        <w:t xml:space="preserve"> </w:t>
      </w:r>
      <w:r w:rsidRPr="003C7F6D">
        <w:t>upside</w:t>
      </w:r>
      <w:r w:rsidR="002514B0">
        <w:t xml:space="preserve"> </w:t>
      </w:r>
      <w:r w:rsidRPr="003C7F6D">
        <w:t>to</w:t>
      </w:r>
      <w:r w:rsidR="002514B0">
        <w:t xml:space="preserve"> </w:t>
      </w:r>
      <w:r w:rsidRPr="003C7F6D">
        <w:t>CLEP</w:t>
      </w:r>
      <w:r w:rsidR="002514B0">
        <w:t xml:space="preserve"> </w:t>
      </w:r>
      <w:r w:rsidRPr="003C7F6D">
        <w:t>is</w:t>
      </w:r>
      <w:r w:rsidR="002514B0">
        <w:t xml:space="preserve"> </w:t>
      </w:r>
      <w:r w:rsidRPr="003C7F6D">
        <w:t>that</w:t>
      </w:r>
      <w:r w:rsidR="002514B0">
        <w:t xml:space="preserve"> </w:t>
      </w:r>
      <w:r w:rsidRPr="003C7F6D">
        <w:t>it</w:t>
      </w:r>
      <w:r w:rsidR="002514B0">
        <w:t xml:space="preserve"> </w:t>
      </w:r>
      <w:r w:rsidRPr="003C7F6D">
        <w:t>could</w:t>
      </w:r>
      <w:r w:rsidR="002514B0">
        <w:t xml:space="preserve"> </w:t>
      </w:r>
      <w:r w:rsidRPr="003C7F6D">
        <w:t>lead</w:t>
      </w:r>
      <w:r w:rsidR="002514B0">
        <w:t xml:space="preserve"> </w:t>
      </w:r>
      <w:r w:rsidRPr="003C7F6D">
        <w:t>the</w:t>
      </w:r>
      <w:r w:rsidR="002514B0">
        <w:t xml:space="preserve"> </w:t>
      </w:r>
      <w:r w:rsidRPr="003C7F6D">
        <w:t>country</w:t>
      </w:r>
      <w:r w:rsidR="002514B0">
        <w:t xml:space="preserve"> </w:t>
      </w:r>
      <w:r w:rsidRPr="003C7F6D">
        <w:t>to</w:t>
      </w:r>
      <w:r w:rsidR="002514B0">
        <w:t xml:space="preserve"> </w:t>
      </w:r>
      <w:r w:rsidRPr="003C7F6D">
        <w:t>a</w:t>
      </w:r>
      <w:r w:rsidR="002514B0">
        <w:t xml:space="preserve"> </w:t>
      </w:r>
      <w:r w:rsidRPr="003C7F6D">
        <w:t>reduction</w:t>
      </w:r>
      <w:r w:rsidR="002514B0">
        <w:t xml:space="preserve"> </w:t>
      </w:r>
      <w:r w:rsidRPr="003C7F6D">
        <w:t>in</w:t>
      </w:r>
      <w:r w:rsidR="002514B0">
        <w:t xml:space="preserve"> </w:t>
      </w:r>
      <w:r w:rsidRPr="003C7F6D">
        <w:t>the</w:t>
      </w:r>
      <w:r w:rsidR="002514B0">
        <w:t xml:space="preserve"> </w:t>
      </w:r>
      <w:r w:rsidRPr="003C7F6D">
        <w:t>need</w:t>
      </w:r>
      <w:r w:rsidR="002514B0">
        <w:t xml:space="preserve"> </w:t>
      </w:r>
      <w:r w:rsidRPr="003C7F6D">
        <w:t>for</w:t>
      </w:r>
      <w:r w:rsidR="002514B0">
        <w:t xml:space="preserve"> </w:t>
      </w:r>
      <w:r w:rsidRPr="003C7F6D">
        <w:t>peaking</w:t>
      </w:r>
      <w:r w:rsidR="002514B0">
        <w:t xml:space="preserve"> </w:t>
      </w:r>
      <w:r w:rsidRPr="003C7F6D">
        <w:t>plants</w:t>
      </w:r>
      <w:r w:rsidR="006261C2">
        <w:t>,</w:t>
      </w:r>
      <w:r w:rsidR="002514B0">
        <w:t xml:space="preserve"> </w:t>
      </w:r>
      <w:r w:rsidRPr="003C7F6D">
        <w:t>with</w:t>
      </w:r>
      <w:r w:rsidR="002514B0">
        <w:t xml:space="preserve"> </w:t>
      </w:r>
      <w:r w:rsidRPr="003C7F6D">
        <w:t>significant</w:t>
      </w:r>
      <w:r w:rsidR="002514B0">
        <w:t xml:space="preserve"> </w:t>
      </w:r>
      <w:r w:rsidRPr="003C7F6D">
        <w:t>CO</w:t>
      </w:r>
      <w:r w:rsidRPr="003C7F6D">
        <w:rPr>
          <w:vertAlign w:val="subscript"/>
        </w:rPr>
        <w:t>2</w:t>
      </w:r>
      <w:r w:rsidR="002514B0">
        <w:t xml:space="preserve"> </w:t>
      </w:r>
      <w:r w:rsidRPr="003C7F6D">
        <w:t>reductions</w:t>
      </w:r>
      <w:r w:rsidR="006261C2">
        <w:t>,</w:t>
      </w:r>
      <w:r w:rsidR="002514B0">
        <w:t xml:space="preserve"> </w:t>
      </w:r>
      <w:r w:rsidRPr="003C7F6D">
        <w:t>and</w:t>
      </w:r>
      <w:r w:rsidR="002514B0">
        <w:t xml:space="preserve"> </w:t>
      </w:r>
      <w:r w:rsidRPr="003C7F6D">
        <w:t>develop</w:t>
      </w:r>
      <w:r w:rsidR="002514B0">
        <w:t xml:space="preserve"> </w:t>
      </w:r>
      <w:r w:rsidRPr="003C7F6D">
        <w:t>a</w:t>
      </w:r>
      <w:r w:rsidR="002514B0">
        <w:t xml:space="preserve"> </w:t>
      </w:r>
      <w:r w:rsidRPr="003C7F6D">
        <w:t>market</w:t>
      </w:r>
      <w:r w:rsidR="002514B0">
        <w:t xml:space="preserve"> </w:t>
      </w:r>
      <w:r w:rsidRPr="003C7F6D">
        <w:t>for</w:t>
      </w:r>
      <w:r w:rsidR="002514B0">
        <w:t xml:space="preserve"> </w:t>
      </w:r>
      <w:r w:rsidRPr="003C7F6D">
        <w:t>behind-the-meter</w:t>
      </w:r>
      <w:r w:rsidR="002514B0">
        <w:t xml:space="preserve"> </w:t>
      </w:r>
      <w:r w:rsidRPr="003C7F6D">
        <w:t>batteries</w:t>
      </w:r>
      <w:r w:rsidR="002514B0">
        <w:t xml:space="preserve"> </w:t>
      </w:r>
      <w:r>
        <w:t>(</w:t>
      </w:r>
      <w:r w:rsidRPr="003C7F6D">
        <w:t>which</w:t>
      </w:r>
      <w:r w:rsidR="002514B0">
        <w:t xml:space="preserve"> </w:t>
      </w:r>
      <w:r w:rsidRPr="003C7F6D">
        <w:t>could</w:t>
      </w:r>
      <w:r w:rsidR="002514B0">
        <w:t xml:space="preserve"> </w:t>
      </w:r>
      <w:r w:rsidRPr="003C7F6D">
        <w:t>be</w:t>
      </w:r>
      <w:r w:rsidR="002514B0">
        <w:t xml:space="preserve"> </w:t>
      </w:r>
      <w:r w:rsidRPr="003C7F6D">
        <w:t>the</w:t>
      </w:r>
      <w:r w:rsidR="002514B0">
        <w:t xml:space="preserve"> </w:t>
      </w:r>
      <w:r w:rsidRPr="003C7F6D">
        <w:t>batteries</w:t>
      </w:r>
      <w:r w:rsidR="002514B0">
        <w:t xml:space="preserve"> </w:t>
      </w:r>
      <w:r w:rsidRPr="003C7F6D">
        <w:t>in</w:t>
      </w:r>
      <w:r w:rsidR="002514B0">
        <w:t xml:space="preserve"> </w:t>
      </w:r>
      <w:r w:rsidRPr="003C7F6D">
        <w:t>our</w:t>
      </w:r>
      <w:r w:rsidR="002514B0">
        <w:t xml:space="preserve"> </w:t>
      </w:r>
      <w:r w:rsidRPr="003C7F6D">
        <w:t>EVs</w:t>
      </w:r>
      <w:r w:rsidR="00142AED">
        <w:t>)</w:t>
      </w:r>
      <w:r w:rsidR="002514B0">
        <w:t xml:space="preserve"> </w:t>
      </w:r>
      <w:r w:rsidRPr="003C7F6D">
        <w:t>which</w:t>
      </w:r>
      <w:r w:rsidR="002514B0">
        <w:t xml:space="preserve"> </w:t>
      </w:r>
      <w:r w:rsidRPr="003C7F6D">
        <w:t>will</w:t>
      </w:r>
      <w:r w:rsidR="002514B0">
        <w:t xml:space="preserve"> </w:t>
      </w:r>
      <w:r w:rsidRPr="003C7F6D">
        <w:t>improve</w:t>
      </w:r>
      <w:r w:rsidR="002514B0">
        <w:t xml:space="preserve"> </w:t>
      </w:r>
      <w:r w:rsidRPr="003C7F6D">
        <w:t>the</w:t>
      </w:r>
      <w:r w:rsidR="002514B0">
        <w:t xml:space="preserve"> </w:t>
      </w:r>
      <w:r w:rsidRPr="003C7F6D">
        <w:t>reliability</w:t>
      </w:r>
      <w:r w:rsidR="002514B0">
        <w:t xml:space="preserve"> </w:t>
      </w:r>
      <w:r w:rsidRPr="003C7F6D">
        <w:t>of</w:t>
      </w:r>
      <w:r w:rsidR="002514B0">
        <w:t xml:space="preserve"> </w:t>
      </w:r>
      <w:r w:rsidRPr="003C7F6D">
        <w:t>our</w:t>
      </w:r>
      <w:r w:rsidR="002514B0">
        <w:t xml:space="preserve"> </w:t>
      </w:r>
      <w:r w:rsidRPr="003C7F6D">
        <w:t>electric</w:t>
      </w:r>
      <w:r w:rsidR="002514B0">
        <w:t xml:space="preserve"> </w:t>
      </w:r>
      <w:r w:rsidRPr="003C7F6D">
        <w:t>grid</w:t>
      </w:r>
      <w:r w:rsidR="002514B0">
        <w:t xml:space="preserve"> </w:t>
      </w:r>
      <w:r w:rsidRPr="003C7F6D">
        <w:t>and</w:t>
      </w:r>
      <w:r w:rsidR="002514B0">
        <w:t xml:space="preserve"> </w:t>
      </w:r>
      <w:r w:rsidRPr="003C7F6D">
        <w:t>further</w:t>
      </w:r>
      <w:r w:rsidR="002514B0">
        <w:t xml:space="preserve"> </w:t>
      </w:r>
      <w:r w:rsidRPr="003C7F6D">
        <w:t>reduce</w:t>
      </w:r>
      <w:r w:rsidR="002514B0">
        <w:t xml:space="preserve"> </w:t>
      </w:r>
      <w:r w:rsidRPr="003C7F6D">
        <w:t>CO</w:t>
      </w:r>
      <w:r w:rsidRPr="003C7F6D">
        <w:rPr>
          <w:vertAlign w:val="subscript"/>
        </w:rPr>
        <w:t>2</w:t>
      </w:r>
      <w:r w:rsidR="002514B0">
        <w:t xml:space="preserve"> </w:t>
      </w:r>
      <w:r w:rsidRPr="00016261">
        <w:t>emissions</w:t>
      </w:r>
      <w:r w:rsidRPr="003C7F6D">
        <w:t>.</w:t>
      </w:r>
      <w:r w:rsidR="002514B0">
        <w:t xml:space="preserve"> </w:t>
      </w:r>
    </w:p>
    <w:p w14:paraId="331AAD73" w14:textId="7B25164A" w:rsidR="008419F3" w:rsidRDefault="008419F3" w:rsidP="008419F3">
      <w:pPr>
        <w:pStyle w:val="Quote"/>
        <w:rPr>
          <w:w w:val="105"/>
        </w:rPr>
      </w:pPr>
      <w:r w:rsidRPr="003C7F6D">
        <w:t>CLEP</w:t>
      </w:r>
      <w:r w:rsidR="002514B0">
        <w:t xml:space="preserve"> </w:t>
      </w:r>
      <w:r w:rsidRPr="003C7F6D">
        <w:t>gives</w:t>
      </w:r>
      <w:r w:rsidR="002514B0">
        <w:t xml:space="preserve"> </w:t>
      </w:r>
      <w:r w:rsidRPr="003C7F6D">
        <w:t>Louisiana</w:t>
      </w:r>
      <w:r w:rsidR="002514B0">
        <w:t xml:space="preserve"> </w:t>
      </w:r>
      <w:r w:rsidRPr="003C7F6D">
        <w:t>a</w:t>
      </w:r>
      <w:r w:rsidR="002514B0">
        <w:t xml:space="preserve"> </w:t>
      </w:r>
      <w:r w:rsidRPr="003C7F6D">
        <w:t>chance</w:t>
      </w:r>
      <w:r w:rsidR="002514B0">
        <w:t xml:space="preserve"> </w:t>
      </w:r>
      <w:r w:rsidRPr="003C7F6D">
        <w:t>to</w:t>
      </w:r>
      <w:r w:rsidR="002514B0">
        <w:t xml:space="preserve"> </w:t>
      </w:r>
      <w:r w:rsidRPr="003C7F6D">
        <w:t>be</w:t>
      </w:r>
      <w:r w:rsidR="002514B0">
        <w:t xml:space="preserve"> </w:t>
      </w:r>
      <w:r w:rsidRPr="003C7F6D">
        <w:t>1</w:t>
      </w:r>
      <w:r w:rsidRPr="003C7F6D">
        <w:rPr>
          <w:vertAlign w:val="superscript"/>
        </w:rPr>
        <w:t>st</w:t>
      </w:r>
      <w:r w:rsidR="002514B0">
        <w:t xml:space="preserve"> </w:t>
      </w:r>
      <w:r w:rsidRPr="003C7F6D">
        <w:t>and</w:t>
      </w:r>
      <w:r w:rsidR="002514B0">
        <w:t xml:space="preserve"> </w:t>
      </w:r>
      <w:r w:rsidRPr="003C7F6D">
        <w:t>not</w:t>
      </w:r>
      <w:r w:rsidR="002514B0">
        <w:t xml:space="preserve"> </w:t>
      </w:r>
      <w:r w:rsidRPr="003C7F6D">
        <w:t>49</w:t>
      </w:r>
      <w:r w:rsidRPr="003C7F6D">
        <w:rPr>
          <w:vertAlign w:val="superscript"/>
        </w:rPr>
        <w:t>th</w:t>
      </w:r>
      <w:r w:rsidR="002514B0">
        <w:t xml:space="preserve"> </w:t>
      </w:r>
      <w:r w:rsidRPr="003C7F6D">
        <w:t>as</w:t>
      </w:r>
      <w:r w:rsidR="002514B0">
        <w:t xml:space="preserve"> </w:t>
      </w:r>
      <w:r w:rsidRPr="003C7F6D">
        <w:t>usually</w:t>
      </w:r>
      <w:r w:rsidR="002514B0">
        <w:t xml:space="preserve"> </w:t>
      </w:r>
      <w:r w:rsidRPr="003C7F6D">
        <w:t>is</w:t>
      </w:r>
      <w:r w:rsidR="002514B0">
        <w:t xml:space="preserve"> </w:t>
      </w:r>
      <w:r w:rsidRPr="003C7F6D">
        <w:t>the</w:t>
      </w:r>
      <w:r w:rsidR="002514B0">
        <w:t xml:space="preserve"> </w:t>
      </w:r>
      <w:r w:rsidRPr="003C7F6D">
        <w:t>case</w:t>
      </w:r>
      <w:r w:rsidR="002514B0">
        <w:t xml:space="preserve"> </w:t>
      </w:r>
      <w:r w:rsidRPr="003C7F6D">
        <w:t>for</w:t>
      </w:r>
      <w:r w:rsidR="002514B0">
        <w:t xml:space="preserve"> </w:t>
      </w:r>
      <w:r w:rsidRPr="003C7F6D">
        <w:t>everything.</w:t>
      </w:r>
      <w:r w:rsidR="002514B0">
        <w:t xml:space="preserve"> </w:t>
      </w:r>
      <w:r w:rsidRPr="003C7F6D">
        <w:t>It</w:t>
      </w:r>
      <w:r w:rsidR="002514B0">
        <w:t xml:space="preserve"> </w:t>
      </w:r>
      <w:r w:rsidRPr="003C7F6D">
        <w:t>doesn’t</w:t>
      </w:r>
      <w:r w:rsidR="002514B0">
        <w:t xml:space="preserve"> </w:t>
      </w:r>
      <w:r w:rsidRPr="003C7F6D">
        <w:t>cost</w:t>
      </w:r>
      <w:r w:rsidR="002514B0">
        <w:t xml:space="preserve"> </w:t>
      </w:r>
      <w:r w:rsidRPr="003C7F6D">
        <w:t>the</w:t>
      </w:r>
      <w:r w:rsidR="002514B0">
        <w:t xml:space="preserve"> </w:t>
      </w:r>
      <w:r w:rsidRPr="003C7F6D">
        <w:t>ratepayers</w:t>
      </w:r>
      <w:r w:rsidR="002514B0">
        <w:t xml:space="preserve"> </w:t>
      </w:r>
      <w:r w:rsidRPr="003C7F6D">
        <w:t>and</w:t>
      </w:r>
      <w:r w:rsidR="002514B0">
        <w:t xml:space="preserve"> </w:t>
      </w:r>
      <w:r w:rsidRPr="003C7F6D">
        <w:t>can</w:t>
      </w:r>
      <w:r w:rsidR="002514B0">
        <w:t xml:space="preserve"> </w:t>
      </w:r>
      <w:r w:rsidRPr="003C7F6D">
        <w:t>lead</w:t>
      </w:r>
      <w:r w:rsidR="002514B0">
        <w:t xml:space="preserve"> </w:t>
      </w:r>
      <w:r w:rsidRPr="003C7F6D">
        <w:t>to</w:t>
      </w:r>
      <w:r w:rsidR="002514B0">
        <w:t xml:space="preserve"> </w:t>
      </w:r>
      <w:r w:rsidRPr="003C7F6D">
        <w:t>improved</w:t>
      </w:r>
      <w:r w:rsidR="002514B0">
        <w:t xml:space="preserve"> </w:t>
      </w:r>
      <w:r w:rsidRPr="003C7F6D">
        <w:t>grid</w:t>
      </w:r>
      <w:r w:rsidR="002514B0">
        <w:t xml:space="preserve"> </w:t>
      </w:r>
      <w:r w:rsidRPr="003C7F6D">
        <w:t>reliability.</w:t>
      </w:r>
      <w:r w:rsidR="002514B0">
        <w:rPr>
          <w:w w:val="105"/>
        </w:rPr>
        <w:t xml:space="preserve"> </w:t>
      </w:r>
    </w:p>
    <w:p w14:paraId="217CD84A" w14:textId="18DAC526" w:rsidR="008419F3" w:rsidRPr="003C7F6D" w:rsidRDefault="006A0308" w:rsidP="008419F3">
      <w:pPr>
        <w:pStyle w:val="Quote"/>
        <w:jc w:val="right"/>
      </w:pPr>
      <w:r>
        <w:rPr>
          <w:w w:val="105"/>
        </w:rPr>
        <w:t>—</w:t>
      </w:r>
      <w:r w:rsidR="008419F3" w:rsidRPr="003C7F6D">
        <w:rPr>
          <w:w w:val="105"/>
        </w:rPr>
        <w:t>David</w:t>
      </w:r>
      <w:r w:rsidR="002514B0">
        <w:rPr>
          <w:w w:val="105"/>
        </w:rPr>
        <w:t xml:space="preserve"> </w:t>
      </w:r>
      <w:r w:rsidR="008419F3" w:rsidRPr="003C7F6D">
        <w:rPr>
          <w:w w:val="105"/>
        </w:rPr>
        <w:t>Stets,</w:t>
      </w:r>
      <w:r w:rsidR="002514B0">
        <w:rPr>
          <w:w w:val="105"/>
        </w:rPr>
        <w:t xml:space="preserve"> </w:t>
      </w:r>
      <w:r w:rsidR="008419F3" w:rsidRPr="003C7F6D">
        <w:rPr>
          <w:w w:val="105"/>
        </w:rPr>
        <w:t>Delta</w:t>
      </w:r>
      <w:r w:rsidR="002514B0">
        <w:rPr>
          <w:w w:val="105"/>
        </w:rPr>
        <w:t xml:space="preserve"> </w:t>
      </w:r>
      <w:r w:rsidR="008419F3" w:rsidRPr="003C7F6D">
        <w:rPr>
          <w:w w:val="105"/>
        </w:rPr>
        <w:t>Chapter</w:t>
      </w:r>
      <w:r w:rsidR="002514B0">
        <w:rPr>
          <w:w w:val="105"/>
        </w:rPr>
        <w:t xml:space="preserve"> </w:t>
      </w:r>
      <w:r w:rsidR="008419F3" w:rsidRPr="003C7F6D">
        <w:rPr>
          <w:w w:val="105"/>
        </w:rPr>
        <w:t>Chair</w:t>
      </w:r>
      <w:r w:rsidR="008419F3">
        <w:rPr>
          <w:w w:val="105"/>
        </w:rPr>
        <w:t>,</w:t>
      </w:r>
      <w:r w:rsidR="002514B0">
        <w:rPr>
          <w:w w:val="105"/>
        </w:rPr>
        <w:t xml:space="preserve"> </w:t>
      </w:r>
      <w:r w:rsidR="008419F3">
        <w:rPr>
          <w:w w:val="105"/>
        </w:rPr>
        <w:t>August</w:t>
      </w:r>
      <w:r w:rsidR="002514B0">
        <w:rPr>
          <w:w w:val="105"/>
        </w:rPr>
        <w:t xml:space="preserve"> </w:t>
      </w:r>
      <w:r w:rsidR="008419F3">
        <w:rPr>
          <w:w w:val="105"/>
        </w:rPr>
        <w:t>1,</w:t>
      </w:r>
      <w:r w:rsidR="002514B0">
        <w:rPr>
          <w:w w:val="105"/>
        </w:rPr>
        <w:t xml:space="preserve"> </w:t>
      </w:r>
      <w:r w:rsidR="008419F3">
        <w:rPr>
          <w:w w:val="105"/>
        </w:rPr>
        <w:t>2019</w:t>
      </w:r>
    </w:p>
    <w:p w14:paraId="1D014983" w14:textId="77777777" w:rsidR="008419F3" w:rsidRDefault="008419F3" w:rsidP="008419F3">
      <w:pPr>
        <w:widowControl/>
        <w:rPr>
          <w:sz w:val="24"/>
          <w:szCs w:val="25"/>
        </w:rPr>
      </w:pPr>
      <w:r>
        <w:br w:type="page"/>
      </w:r>
    </w:p>
    <w:p w14:paraId="556DF843" w14:textId="414BF705" w:rsidR="008419F3" w:rsidRDefault="008419F3" w:rsidP="008419F3">
      <w:pPr>
        <w:pStyle w:val="BodyText"/>
      </w:pPr>
      <w:r>
        <w:lastRenderedPageBreak/>
        <w:t>Originally</w:t>
      </w:r>
      <w:r w:rsidR="002514B0">
        <w:t xml:space="preserve"> </w:t>
      </w:r>
      <w:r>
        <w:t>introduced</w:t>
      </w:r>
      <w:r w:rsidR="002514B0">
        <w:t xml:space="preserve"> </w:t>
      </w:r>
      <w:r>
        <w:t>into</w:t>
      </w:r>
      <w:r w:rsidR="002514B0">
        <w:t xml:space="preserve"> </w:t>
      </w:r>
      <w:r>
        <w:t>the</w:t>
      </w:r>
      <w:r w:rsidR="002514B0">
        <w:t xml:space="preserve"> </w:t>
      </w:r>
      <w:r>
        <w:t>2015</w:t>
      </w:r>
      <w:r w:rsidR="002514B0">
        <w:t xml:space="preserve"> </w:t>
      </w:r>
      <w:r>
        <w:t>ENO</w:t>
      </w:r>
      <w:r w:rsidR="002514B0">
        <w:t xml:space="preserve"> </w:t>
      </w:r>
      <w:r>
        <w:t>Integrated</w:t>
      </w:r>
      <w:r w:rsidR="002514B0">
        <w:t xml:space="preserve"> </w:t>
      </w:r>
      <w:r>
        <w:t>Resource</w:t>
      </w:r>
      <w:r w:rsidR="002514B0">
        <w:t xml:space="preserve"> </w:t>
      </w:r>
      <w:r>
        <w:t>Planning</w:t>
      </w:r>
      <w:r w:rsidR="002514B0">
        <w:t xml:space="preserve"> </w:t>
      </w:r>
      <w:r>
        <w:t>process</w:t>
      </w:r>
      <w:r w:rsidR="002514B0">
        <w:t xml:space="preserve"> </w:t>
      </w:r>
      <w:r w:rsidR="00A37210">
        <w:t>to</w:t>
      </w:r>
      <w:r w:rsidR="002514B0">
        <w:t xml:space="preserve"> </w:t>
      </w:r>
      <w:r w:rsidR="00A37210">
        <w:t>fix</w:t>
      </w:r>
      <w:r w:rsidR="002514B0">
        <w:t xml:space="preserve"> </w:t>
      </w:r>
      <w:r w:rsidR="00A37210">
        <w:t>the</w:t>
      </w:r>
      <w:r w:rsidR="002514B0">
        <w:t xml:space="preserve"> </w:t>
      </w:r>
      <w:r w:rsidR="00A37210">
        <w:t>badly</w:t>
      </w:r>
      <w:r w:rsidR="002514B0">
        <w:t xml:space="preserve"> </w:t>
      </w:r>
      <w:r w:rsidR="00A37210">
        <w:t>flawed</w:t>
      </w:r>
      <w:r w:rsidR="002514B0">
        <w:t xml:space="preserve"> </w:t>
      </w:r>
      <w:r w:rsidR="00A37210">
        <w:t>IRP</w:t>
      </w:r>
      <w:r>
        <w:t>,</w:t>
      </w:r>
      <w:r w:rsidR="002514B0">
        <w:t xml:space="preserve"> </w:t>
      </w:r>
      <w:r>
        <w:t>CLEP</w:t>
      </w:r>
      <w:r w:rsidR="002514B0">
        <w:t xml:space="preserve"> </w:t>
      </w:r>
      <w:r>
        <w:t>is</w:t>
      </w:r>
      <w:r w:rsidR="002514B0">
        <w:t xml:space="preserve"> </w:t>
      </w:r>
      <w:r>
        <w:t>no</w:t>
      </w:r>
      <w:r w:rsidR="002514B0">
        <w:t xml:space="preserve"> </w:t>
      </w:r>
      <w:r>
        <w:t>longer</w:t>
      </w:r>
      <w:r w:rsidR="002514B0">
        <w:t xml:space="preserve"> </w:t>
      </w:r>
      <w:r>
        <w:t>a</w:t>
      </w:r>
      <w:r w:rsidR="002514B0">
        <w:t xml:space="preserve"> </w:t>
      </w:r>
      <w:r>
        <w:t>nascent</w:t>
      </w:r>
      <w:r w:rsidR="002514B0">
        <w:t xml:space="preserve"> </w:t>
      </w:r>
      <w:r>
        <w:t>idea</w:t>
      </w:r>
      <w:r w:rsidR="006A0308">
        <w:t>.</w:t>
      </w:r>
      <w:r w:rsidR="002514B0">
        <w:t xml:space="preserve">  </w:t>
      </w:r>
      <w:r w:rsidR="006A0308">
        <w:t>Unlike</w:t>
      </w:r>
      <w:r w:rsidR="002514B0">
        <w:t xml:space="preserve"> </w:t>
      </w:r>
      <w:r w:rsidR="006A0308">
        <w:t>the</w:t>
      </w:r>
      <w:r w:rsidR="002514B0">
        <w:t xml:space="preserve"> </w:t>
      </w:r>
      <w:r w:rsidR="006A0308">
        <w:t>CLEP</w:t>
      </w:r>
      <w:r w:rsidR="002514B0">
        <w:t xml:space="preserve"> </w:t>
      </w:r>
      <w:r w:rsidR="006A0308">
        <w:t>proposal</w:t>
      </w:r>
      <w:r w:rsidR="005B4529">
        <w:t>s</w:t>
      </w:r>
      <w:r w:rsidR="002514B0">
        <w:t xml:space="preserve"> </w:t>
      </w:r>
      <w:r w:rsidR="006A0308">
        <w:t>of</w:t>
      </w:r>
      <w:r w:rsidR="002514B0">
        <w:t xml:space="preserve"> </w:t>
      </w:r>
      <w:r w:rsidR="006A0308">
        <w:t>2016</w:t>
      </w:r>
      <w:r w:rsidR="002514B0">
        <w:t xml:space="preserve"> </w:t>
      </w:r>
      <w:r w:rsidR="006A0308">
        <w:t>and</w:t>
      </w:r>
      <w:r w:rsidR="002514B0">
        <w:t xml:space="preserve"> </w:t>
      </w:r>
      <w:r w:rsidR="006A0308">
        <w:t>ENO’s</w:t>
      </w:r>
      <w:r w:rsidR="002514B0">
        <w:t xml:space="preserve"> </w:t>
      </w:r>
      <w:r w:rsidR="005B4529">
        <w:t>tiny</w:t>
      </w:r>
      <w:r w:rsidR="002514B0">
        <w:t xml:space="preserve"> </w:t>
      </w:r>
      <w:r w:rsidR="006A0308">
        <w:t>AMI</w:t>
      </w:r>
      <w:r w:rsidR="002514B0">
        <w:t xml:space="preserve"> </w:t>
      </w:r>
      <w:r w:rsidR="006A0308">
        <w:t>deployed</w:t>
      </w:r>
      <w:r w:rsidR="002514B0">
        <w:t xml:space="preserve"> </w:t>
      </w:r>
      <w:r w:rsidR="006A0308">
        <w:t>base</w:t>
      </w:r>
      <w:r w:rsidR="002514B0">
        <w:t xml:space="preserve"> </w:t>
      </w:r>
      <w:r w:rsidR="006A0308">
        <w:t>at</w:t>
      </w:r>
      <w:r w:rsidR="002514B0">
        <w:t xml:space="preserve"> </w:t>
      </w:r>
      <w:r w:rsidR="006A0308">
        <w:t>that</w:t>
      </w:r>
      <w:r w:rsidR="002514B0">
        <w:t xml:space="preserve"> </w:t>
      </w:r>
      <w:r w:rsidR="006A0308">
        <w:t>time,</w:t>
      </w:r>
      <w:r w:rsidR="002514B0">
        <w:t xml:space="preserve"> </w:t>
      </w:r>
      <w:r w:rsidR="006A0308">
        <w:t>CLEP</w:t>
      </w:r>
      <w:r w:rsidR="002514B0">
        <w:t xml:space="preserve"> </w:t>
      </w:r>
      <w:r w:rsidR="006A0308">
        <w:t>now</w:t>
      </w:r>
      <w:r w:rsidR="002514B0">
        <w:t xml:space="preserve"> </w:t>
      </w:r>
      <w:r w:rsidR="006A0308">
        <w:t>benefits</w:t>
      </w:r>
      <w:r w:rsidR="002514B0">
        <w:t xml:space="preserve"> </w:t>
      </w:r>
      <w:r w:rsidR="006A0308">
        <w:t>from</w:t>
      </w:r>
      <w:r w:rsidR="002514B0">
        <w:t xml:space="preserve"> </w:t>
      </w:r>
      <w:r w:rsidR="005B4529">
        <w:t>both</w:t>
      </w:r>
      <w:r w:rsidR="002514B0">
        <w:t xml:space="preserve"> </w:t>
      </w:r>
      <w:r w:rsidR="006A0308">
        <w:t>ENO’s</w:t>
      </w:r>
      <w:r w:rsidR="002514B0">
        <w:t xml:space="preserve"> </w:t>
      </w:r>
      <w:r w:rsidR="006A0308">
        <w:t>projections</w:t>
      </w:r>
      <w:r w:rsidR="002514B0">
        <w:t xml:space="preserve"> </w:t>
      </w:r>
      <w:r w:rsidR="006A0308">
        <w:t>of</w:t>
      </w:r>
      <w:r w:rsidR="002514B0">
        <w:t xml:space="preserve"> </w:t>
      </w:r>
      <w:r w:rsidR="006A0308">
        <w:t>full</w:t>
      </w:r>
      <w:r w:rsidR="002514B0">
        <w:t xml:space="preserve"> </w:t>
      </w:r>
      <w:r w:rsidR="006A0308">
        <w:t>deployment</w:t>
      </w:r>
      <w:r w:rsidR="002514B0">
        <w:t xml:space="preserve"> </w:t>
      </w:r>
      <w:r w:rsidR="006A0308">
        <w:t>of</w:t>
      </w:r>
      <w:r w:rsidR="002514B0">
        <w:t xml:space="preserve"> </w:t>
      </w:r>
      <w:r w:rsidR="006A0308">
        <w:t>AMI</w:t>
      </w:r>
      <w:r w:rsidR="002514B0">
        <w:t xml:space="preserve"> </w:t>
      </w:r>
      <w:r w:rsidR="005B4529">
        <w:t>by</w:t>
      </w:r>
      <w:r w:rsidR="002514B0">
        <w:t xml:space="preserve"> </w:t>
      </w:r>
      <w:r w:rsidR="006A0308">
        <w:t>2020</w:t>
      </w:r>
      <w:r w:rsidR="002514B0">
        <w:t xml:space="preserve"> </w:t>
      </w:r>
      <w:r w:rsidR="006A0308">
        <w:t>and</w:t>
      </w:r>
      <w:r w:rsidR="002514B0">
        <w:t xml:space="preserve"> </w:t>
      </w:r>
      <w:r w:rsidR="006A0308">
        <w:t>CLEP’s</w:t>
      </w:r>
      <w:r w:rsidR="002514B0">
        <w:t xml:space="preserve"> </w:t>
      </w:r>
      <w:r w:rsidR="005B4529">
        <w:t>2019</w:t>
      </w:r>
      <w:r w:rsidR="002514B0">
        <w:t xml:space="preserve"> </w:t>
      </w:r>
      <w:r w:rsidR="005B4529">
        <w:t>redefinition</w:t>
      </w:r>
      <w:r w:rsidR="001273F9">
        <w:t>,</w:t>
      </w:r>
      <w:r w:rsidR="002514B0">
        <w:t xml:space="preserve"> </w:t>
      </w:r>
      <w:r w:rsidR="0094353A">
        <w:t>documentation</w:t>
      </w:r>
      <w:r w:rsidR="001273F9">
        <w:t>s,</w:t>
      </w:r>
      <w:r w:rsidR="002514B0">
        <w:t xml:space="preserve"> </w:t>
      </w:r>
      <w:r w:rsidR="00142AED">
        <w:t xml:space="preserve">and </w:t>
      </w:r>
      <w:r w:rsidR="001273F9">
        <w:t>explanato</w:t>
      </w:r>
      <w:r w:rsidR="00142AED">
        <w:t>ry tools,</w:t>
      </w:r>
      <w:r w:rsidR="002514B0">
        <w:t xml:space="preserve"> </w:t>
      </w:r>
      <w:r w:rsidR="0094353A">
        <w:t>encompassing</w:t>
      </w:r>
      <w:r w:rsidR="002514B0">
        <w:t xml:space="preserve"> </w:t>
      </w:r>
      <w:r w:rsidR="0094353A">
        <w:t>a</w:t>
      </w:r>
      <w:r w:rsidR="002514B0">
        <w:t xml:space="preserve"> </w:t>
      </w:r>
      <w:r w:rsidR="0094353A">
        <w:t>myriad</w:t>
      </w:r>
      <w:r w:rsidR="002514B0">
        <w:t xml:space="preserve"> </w:t>
      </w:r>
      <w:r w:rsidR="0094353A">
        <w:t>of</w:t>
      </w:r>
      <w:r w:rsidR="002514B0">
        <w:t xml:space="preserve"> </w:t>
      </w:r>
      <w:r w:rsidR="001273F9">
        <w:t>TED</w:t>
      </w:r>
      <w:r w:rsidR="002514B0">
        <w:t xml:space="preserve"> </w:t>
      </w:r>
      <w:r w:rsidR="001273F9">
        <w:t>talks</w:t>
      </w:r>
      <w:r w:rsidR="0094353A">
        <w:t>,</w:t>
      </w:r>
      <w:r w:rsidR="002514B0">
        <w:t xml:space="preserve"> </w:t>
      </w:r>
      <w:r w:rsidR="00A37210">
        <w:t>real</w:t>
      </w:r>
      <w:r w:rsidR="002514B0">
        <w:t xml:space="preserve"> </w:t>
      </w:r>
      <w:r w:rsidR="00A37210">
        <w:t>and</w:t>
      </w:r>
      <w:r w:rsidR="002514B0">
        <w:t xml:space="preserve"> </w:t>
      </w:r>
      <w:r w:rsidR="00A37210">
        <w:t>animated</w:t>
      </w:r>
      <w:r w:rsidR="002514B0">
        <w:t xml:space="preserve"> </w:t>
      </w:r>
      <w:r w:rsidR="0094353A">
        <w:t>videos,</w:t>
      </w:r>
      <w:r w:rsidR="002514B0">
        <w:t xml:space="preserve"> </w:t>
      </w:r>
      <w:r w:rsidR="001273F9">
        <w:t>professional</w:t>
      </w:r>
      <w:r w:rsidR="00142AED">
        <w:t xml:space="preserve"> conference</w:t>
      </w:r>
      <w:r w:rsidR="002514B0">
        <w:t xml:space="preserve"> </w:t>
      </w:r>
      <w:r w:rsidR="00142AED">
        <w:t>presentations</w:t>
      </w:r>
      <w:r w:rsidR="002514B0">
        <w:t xml:space="preserve"> </w:t>
      </w:r>
      <w:r w:rsidR="00142AED">
        <w:t>including a</w:t>
      </w:r>
      <w:r w:rsidR="002514B0">
        <w:t xml:space="preserve"> </w:t>
      </w:r>
      <w:r w:rsidR="0094353A">
        <w:t>full</w:t>
      </w:r>
      <w:r w:rsidR="002514B0">
        <w:t xml:space="preserve"> </w:t>
      </w:r>
      <w:r w:rsidR="0094353A">
        <w:t>slide</w:t>
      </w:r>
      <w:r w:rsidR="002514B0">
        <w:t xml:space="preserve"> </w:t>
      </w:r>
      <w:r w:rsidR="0094353A">
        <w:t>deck</w:t>
      </w:r>
      <w:r w:rsidR="002514B0">
        <w:t xml:space="preserve"> </w:t>
      </w:r>
      <w:r w:rsidR="00142AED">
        <w:t>as well as</w:t>
      </w:r>
      <w:r w:rsidR="002514B0">
        <w:t xml:space="preserve"> </w:t>
      </w:r>
      <w:r w:rsidR="0094353A">
        <w:t>access</w:t>
      </w:r>
      <w:r w:rsidR="002514B0">
        <w:t xml:space="preserve"> </w:t>
      </w:r>
      <w:r w:rsidR="0094353A">
        <w:t>to</w:t>
      </w:r>
      <w:r w:rsidR="002514B0">
        <w:t xml:space="preserve"> </w:t>
      </w:r>
      <w:r w:rsidR="006B42F2">
        <w:t>the</w:t>
      </w:r>
      <w:r w:rsidR="002514B0">
        <w:t xml:space="preserve"> </w:t>
      </w:r>
      <w:r w:rsidR="006B42F2">
        <w:t>full</w:t>
      </w:r>
      <w:r w:rsidR="002514B0">
        <w:t xml:space="preserve"> </w:t>
      </w:r>
      <w:r w:rsidR="006B42F2">
        <w:t>set</w:t>
      </w:r>
      <w:r w:rsidR="002514B0">
        <w:t xml:space="preserve"> </w:t>
      </w:r>
      <w:r w:rsidR="006B42F2">
        <w:t>of</w:t>
      </w:r>
      <w:r w:rsidR="002514B0">
        <w:t xml:space="preserve"> </w:t>
      </w:r>
      <w:r w:rsidR="0094353A">
        <w:t>BSI’s</w:t>
      </w:r>
      <w:r w:rsidR="002514B0">
        <w:t xml:space="preserve"> </w:t>
      </w:r>
      <w:r w:rsidR="0094353A">
        <w:t>submissions</w:t>
      </w:r>
      <w:r w:rsidR="002514B0">
        <w:t xml:space="preserve"> </w:t>
      </w:r>
      <w:r w:rsidR="0094353A">
        <w:t>to</w:t>
      </w:r>
      <w:r w:rsidR="002514B0">
        <w:t xml:space="preserve"> </w:t>
      </w:r>
      <w:r w:rsidR="0094353A">
        <w:t>the</w:t>
      </w:r>
      <w:r w:rsidR="002514B0">
        <w:t xml:space="preserve"> </w:t>
      </w:r>
      <w:r w:rsidR="0094353A" w:rsidRPr="003C7F6D">
        <w:rPr>
          <w:b/>
          <w:szCs w:val="24"/>
        </w:rPr>
        <w:t>UD-18-07</w:t>
      </w:r>
      <w:r w:rsidR="002514B0">
        <w:t xml:space="preserve"> </w:t>
      </w:r>
      <w:r w:rsidR="006B42F2">
        <w:t>Evidentiary</w:t>
      </w:r>
      <w:r w:rsidR="002514B0">
        <w:t xml:space="preserve"> </w:t>
      </w:r>
      <w:r w:rsidR="006B42F2">
        <w:t>Record</w:t>
      </w:r>
      <w:r w:rsidR="005B4529">
        <w:t>.</w:t>
      </w:r>
      <w:r w:rsidR="0094353A">
        <w:rPr>
          <w:rStyle w:val="FootnoteReference"/>
        </w:rPr>
        <w:footnoteReference w:id="4"/>
      </w:r>
      <w:r w:rsidR="002514B0">
        <w:t xml:space="preserve"> </w:t>
      </w:r>
      <w:r w:rsidR="001273F9">
        <w:t>Moreover,</w:t>
      </w:r>
      <w:r w:rsidR="002514B0">
        <w:t xml:space="preserve"> </w:t>
      </w:r>
      <w:r w:rsidR="001273F9">
        <w:t>u</w:t>
      </w:r>
      <w:r w:rsidR="005B4529">
        <w:t>nlike</w:t>
      </w:r>
      <w:r w:rsidR="002514B0">
        <w:t xml:space="preserve"> </w:t>
      </w:r>
      <w:r w:rsidR="005B4529">
        <w:t>2016,</w:t>
      </w:r>
      <w:r w:rsidR="002514B0">
        <w:t xml:space="preserve"> </w:t>
      </w:r>
      <w:r w:rsidR="005B4529">
        <w:t>CLEP</w:t>
      </w:r>
      <w:r w:rsidR="002514B0">
        <w:t xml:space="preserve"> </w:t>
      </w:r>
      <w:r w:rsidR="005B4529">
        <w:t>is</w:t>
      </w:r>
      <w:r w:rsidR="002514B0">
        <w:t xml:space="preserve"> </w:t>
      </w:r>
      <w:r w:rsidR="005B4529">
        <w:t>applicable</w:t>
      </w:r>
      <w:r w:rsidR="002514B0">
        <w:t xml:space="preserve"> </w:t>
      </w:r>
      <w:r w:rsidR="005B4529">
        <w:t>to</w:t>
      </w:r>
      <w:r w:rsidR="002514B0">
        <w:t xml:space="preserve"> </w:t>
      </w:r>
      <w:r w:rsidR="005B4529">
        <w:t>all</w:t>
      </w:r>
      <w:r w:rsidR="002514B0">
        <w:t xml:space="preserve"> </w:t>
      </w:r>
      <w:r w:rsidR="005B4529">
        <w:t>customer</w:t>
      </w:r>
      <w:r w:rsidR="002514B0">
        <w:t xml:space="preserve"> </w:t>
      </w:r>
      <w:r w:rsidR="005B4529">
        <w:t>classes</w:t>
      </w:r>
      <w:r w:rsidR="006B42F2">
        <w:t>.</w:t>
      </w:r>
      <w:r w:rsidR="002514B0">
        <w:t xml:space="preserve"> </w:t>
      </w:r>
      <w:r w:rsidR="006B42F2">
        <w:t>Unlike</w:t>
      </w:r>
      <w:r w:rsidR="00142AED">
        <w:t xml:space="preserve"> the proposal of</w:t>
      </w:r>
      <w:r w:rsidR="002514B0">
        <w:t xml:space="preserve"> </w:t>
      </w:r>
      <w:r w:rsidR="006B42F2">
        <w:t>2016,</w:t>
      </w:r>
      <w:r w:rsidR="002514B0">
        <w:t xml:space="preserve"> </w:t>
      </w:r>
      <w:r w:rsidR="006B42F2">
        <w:t>CLEP</w:t>
      </w:r>
      <w:r w:rsidR="002514B0">
        <w:t xml:space="preserve"> </w:t>
      </w:r>
      <w:r w:rsidR="005B4529">
        <w:t>is</w:t>
      </w:r>
      <w:r w:rsidR="002514B0">
        <w:t xml:space="preserve"> </w:t>
      </w:r>
      <w:r w:rsidR="005B4529">
        <w:t>supported</w:t>
      </w:r>
      <w:r w:rsidR="002514B0">
        <w:t xml:space="preserve"> </w:t>
      </w:r>
      <w:r w:rsidR="005B4529">
        <w:t>by</w:t>
      </w:r>
      <w:r w:rsidR="002514B0">
        <w:t xml:space="preserve"> </w:t>
      </w:r>
      <w:r w:rsidR="006B42F2">
        <w:t>a</w:t>
      </w:r>
      <w:r w:rsidR="002514B0">
        <w:t xml:space="preserve"> </w:t>
      </w:r>
      <w:r>
        <w:t>fully</w:t>
      </w:r>
      <w:r w:rsidR="002514B0">
        <w:t xml:space="preserve"> </w:t>
      </w:r>
      <w:r>
        <w:t>formulated</w:t>
      </w:r>
      <w:r w:rsidR="002514B0">
        <w:t xml:space="preserve"> </w:t>
      </w:r>
      <w:r w:rsidR="005B4529">
        <w:t>simulation</w:t>
      </w:r>
      <w:r w:rsidR="001273F9">
        <w:t>,</w:t>
      </w:r>
      <w:r w:rsidR="002514B0">
        <w:t xml:space="preserve"> </w:t>
      </w:r>
      <w:r w:rsidR="006B42F2">
        <w:t>the</w:t>
      </w:r>
      <w:r w:rsidR="002514B0">
        <w:t xml:space="preserve"> </w:t>
      </w:r>
      <w:r w:rsidR="006B42F2">
        <w:t>CLEP_Dashboard.</w:t>
      </w:r>
      <w:r w:rsidR="006B42F2">
        <w:rPr>
          <w:rStyle w:val="FootnoteReference"/>
        </w:rPr>
        <w:footnoteReference w:id="5"/>
      </w:r>
      <w:r w:rsidR="002514B0">
        <w:t xml:space="preserve"> </w:t>
      </w:r>
      <w:r w:rsidR="006B42F2">
        <w:t>Th</w:t>
      </w:r>
      <w:r w:rsidR="00A37210">
        <w:t>is</w:t>
      </w:r>
      <w:r w:rsidR="002514B0">
        <w:t xml:space="preserve"> </w:t>
      </w:r>
      <w:r w:rsidR="006B42F2">
        <w:t>allows</w:t>
      </w:r>
      <w:r w:rsidR="002514B0">
        <w:t xml:space="preserve"> </w:t>
      </w:r>
      <w:r w:rsidR="006B42F2">
        <w:t>ratepayers</w:t>
      </w:r>
      <w:r w:rsidR="005B4529">
        <w:t>,</w:t>
      </w:r>
      <w:r w:rsidR="002514B0">
        <w:t xml:space="preserve"> </w:t>
      </w:r>
      <w:r w:rsidR="005B4529">
        <w:t>the</w:t>
      </w:r>
      <w:r w:rsidR="002514B0">
        <w:t xml:space="preserve"> </w:t>
      </w:r>
      <w:r w:rsidR="005B4529">
        <w:t>utility,</w:t>
      </w:r>
      <w:r w:rsidR="002514B0">
        <w:t xml:space="preserve"> </w:t>
      </w:r>
      <w:r w:rsidR="006B42F2">
        <w:t>the</w:t>
      </w:r>
      <w:r w:rsidR="002514B0">
        <w:t xml:space="preserve"> </w:t>
      </w:r>
      <w:r w:rsidR="006B42F2">
        <w:t>Council</w:t>
      </w:r>
      <w:r w:rsidR="002514B0">
        <w:t xml:space="preserve"> </w:t>
      </w:r>
      <w:r w:rsidR="001273F9">
        <w:t>and</w:t>
      </w:r>
      <w:r w:rsidR="002514B0">
        <w:t xml:space="preserve"> </w:t>
      </w:r>
      <w:r w:rsidR="006B42F2">
        <w:t>even</w:t>
      </w:r>
      <w:r w:rsidR="002514B0">
        <w:t xml:space="preserve"> </w:t>
      </w:r>
      <w:r w:rsidR="00850A69">
        <w:t>perhaps</w:t>
      </w:r>
      <w:r w:rsidR="002514B0">
        <w:t xml:space="preserve"> </w:t>
      </w:r>
      <w:r w:rsidR="001273F9">
        <w:t>the</w:t>
      </w:r>
      <w:r w:rsidR="002514B0">
        <w:t xml:space="preserve"> </w:t>
      </w:r>
      <w:r w:rsidR="006B42F2">
        <w:t>most</w:t>
      </w:r>
      <w:r w:rsidR="002514B0">
        <w:t xml:space="preserve"> </w:t>
      </w:r>
      <w:r w:rsidR="006B42F2">
        <w:t>technical</w:t>
      </w:r>
      <w:r w:rsidR="002514B0">
        <w:t xml:space="preserve"> </w:t>
      </w:r>
      <w:r w:rsidR="001273F9">
        <w:t>of</w:t>
      </w:r>
      <w:r w:rsidR="002514B0">
        <w:t xml:space="preserve"> </w:t>
      </w:r>
      <w:r w:rsidR="001273F9">
        <w:t>expert</w:t>
      </w:r>
      <w:r w:rsidR="002514B0">
        <w:t xml:space="preserve"> </w:t>
      </w:r>
      <w:r w:rsidR="001273F9">
        <w:t>utility</w:t>
      </w:r>
      <w:r w:rsidR="002514B0">
        <w:t xml:space="preserve"> </w:t>
      </w:r>
      <w:r w:rsidR="006B42F2">
        <w:t>consultants</w:t>
      </w:r>
      <w:r w:rsidR="002514B0">
        <w:t xml:space="preserve"> </w:t>
      </w:r>
      <w:r w:rsidR="00D04AD3">
        <w:t>to</w:t>
      </w:r>
      <w:r w:rsidR="002514B0">
        <w:t xml:space="preserve"> </w:t>
      </w:r>
      <w:r w:rsidR="00D04AD3">
        <w:t>“play</w:t>
      </w:r>
      <w:r w:rsidR="002514B0">
        <w:t xml:space="preserve"> </w:t>
      </w:r>
      <w:r w:rsidR="00D04AD3">
        <w:t>the</w:t>
      </w:r>
      <w:r w:rsidR="002514B0">
        <w:t xml:space="preserve"> </w:t>
      </w:r>
      <w:r w:rsidR="00D04AD3">
        <w:t>simulation”</w:t>
      </w:r>
      <w:r w:rsidR="002514B0">
        <w:t xml:space="preserve"> </w:t>
      </w:r>
      <w:r w:rsidR="00D04AD3">
        <w:t>to</w:t>
      </w:r>
      <w:r w:rsidR="002514B0">
        <w:t xml:space="preserve"> </w:t>
      </w:r>
      <w:r w:rsidR="00D04AD3">
        <w:t>learn</w:t>
      </w:r>
      <w:r w:rsidR="002514B0">
        <w:t xml:space="preserve"> </w:t>
      </w:r>
      <w:r w:rsidR="006B42F2">
        <w:t>all</w:t>
      </w:r>
      <w:r w:rsidR="002514B0">
        <w:t xml:space="preserve"> </w:t>
      </w:r>
      <w:r w:rsidR="006B42F2">
        <w:t>that</w:t>
      </w:r>
      <w:r w:rsidR="002514B0">
        <w:t xml:space="preserve"> </w:t>
      </w:r>
      <w:r w:rsidR="00850A69">
        <w:t>they</w:t>
      </w:r>
      <w:r w:rsidR="002514B0">
        <w:t xml:space="preserve"> </w:t>
      </w:r>
      <w:r w:rsidR="00142AED">
        <w:t>might</w:t>
      </w:r>
      <w:r w:rsidR="002514B0">
        <w:t xml:space="preserve"> </w:t>
      </w:r>
      <w:r w:rsidR="001273F9">
        <w:t>need</w:t>
      </w:r>
      <w:r w:rsidR="002514B0">
        <w:t xml:space="preserve"> </w:t>
      </w:r>
      <w:r w:rsidR="001273F9">
        <w:t>to</w:t>
      </w:r>
      <w:r w:rsidR="002514B0">
        <w:t xml:space="preserve"> </w:t>
      </w:r>
      <w:r w:rsidR="001273F9">
        <w:t>know</w:t>
      </w:r>
      <w:r w:rsidR="008A34D4">
        <w:t>,</w:t>
      </w:r>
      <w:r w:rsidR="002514B0">
        <w:t xml:space="preserve"> </w:t>
      </w:r>
      <w:r w:rsidR="001273F9">
        <w:t>to</w:t>
      </w:r>
      <w:r w:rsidR="002514B0">
        <w:t xml:space="preserve"> </w:t>
      </w:r>
      <w:r w:rsidR="001273F9">
        <w:t>more</w:t>
      </w:r>
      <w:r w:rsidR="002514B0">
        <w:t xml:space="preserve"> </w:t>
      </w:r>
      <w:r w:rsidR="001273F9">
        <w:t>than</w:t>
      </w:r>
      <w:r w:rsidR="002514B0">
        <w:t xml:space="preserve"> </w:t>
      </w:r>
      <w:r w:rsidR="001273F9">
        <w:t>adequately</w:t>
      </w:r>
      <w:r w:rsidR="002514B0">
        <w:t xml:space="preserve"> </w:t>
      </w:r>
      <w:r w:rsidR="006B42F2">
        <w:t>understand</w:t>
      </w:r>
      <w:r w:rsidR="008A34D4">
        <w:t>,</w:t>
      </w:r>
      <w:r w:rsidR="002514B0">
        <w:t xml:space="preserve"> </w:t>
      </w:r>
      <w:r w:rsidR="00A37210">
        <w:t>and</w:t>
      </w:r>
      <w:r w:rsidR="002514B0">
        <w:t xml:space="preserve"> </w:t>
      </w:r>
      <w:r w:rsidR="00D04AD3">
        <w:t>confidently</w:t>
      </w:r>
      <w:r w:rsidR="002514B0">
        <w:t xml:space="preserve"> </w:t>
      </w:r>
      <w:r w:rsidR="00A37210">
        <w:t>predict</w:t>
      </w:r>
      <w:r w:rsidR="002514B0">
        <w:t xml:space="preserve"> </w:t>
      </w:r>
      <w:r w:rsidR="001273F9">
        <w:t>where,</w:t>
      </w:r>
      <w:r w:rsidR="002514B0">
        <w:t xml:space="preserve"> </w:t>
      </w:r>
      <w:r w:rsidR="001273F9">
        <w:t>why</w:t>
      </w:r>
      <w:r w:rsidR="002514B0">
        <w:t xml:space="preserve"> </w:t>
      </w:r>
      <w:r w:rsidR="001273F9">
        <w:t>and</w:t>
      </w:r>
      <w:r w:rsidR="002514B0">
        <w:t xml:space="preserve"> </w:t>
      </w:r>
      <w:r w:rsidR="001273F9">
        <w:t>how</w:t>
      </w:r>
      <w:r w:rsidR="002514B0">
        <w:t xml:space="preserve"> </w:t>
      </w:r>
      <w:r w:rsidR="001273F9">
        <w:t>the</w:t>
      </w:r>
      <w:r w:rsidR="002514B0">
        <w:t xml:space="preserve"> </w:t>
      </w:r>
      <w:r w:rsidR="001273F9">
        <w:t>money</w:t>
      </w:r>
      <w:r w:rsidR="002514B0">
        <w:t xml:space="preserve"> </w:t>
      </w:r>
      <w:r w:rsidR="00142AED">
        <w:t>moves in a</w:t>
      </w:r>
      <w:r w:rsidR="002514B0">
        <w:t xml:space="preserve"> </w:t>
      </w:r>
      <w:r w:rsidR="001273F9">
        <w:t>myriad</w:t>
      </w:r>
      <w:r w:rsidR="002514B0">
        <w:t xml:space="preserve"> </w:t>
      </w:r>
      <w:r w:rsidR="001273F9">
        <w:t>of</w:t>
      </w:r>
      <w:r w:rsidR="002514B0">
        <w:t xml:space="preserve"> </w:t>
      </w:r>
      <w:r w:rsidR="001273F9">
        <w:t>situations</w:t>
      </w:r>
      <w:r w:rsidR="00A37210">
        <w:t>—where</w:t>
      </w:r>
      <w:r w:rsidR="002514B0">
        <w:t xml:space="preserve"> </w:t>
      </w:r>
      <w:r w:rsidR="00A37210">
        <w:t>most</w:t>
      </w:r>
      <w:r w:rsidR="002514B0">
        <w:t xml:space="preserve"> </w:t>
      </w:r>
      <w:r w:rsidR="00A37210">
        <w:t>are</w:t>
      </w:r>
      <w:r w:rsidR="002514B0">
        <w:t xml:space="preserve"> </w:t>
      </w:r>
      <w:r w:rsidR="00A37210">
        <w:t>quite</w:t>
      </w:r>
      <w:r w:rsidR="002514B0">
        <w:t xml:space="preserve"> </w:t>
      </w:r>
      <w:r w:rsidR="00A37210">
        <w:t>easy</w:t>
      </w:r>
      <w:r w:rsidR="002514B0">
        <w:t xml:space="preserve"> </w:t>
      </w:r>
      <w:r w:rsidR="00A37210">
        <w:t>to</w:t>
      </w:r>
      <w:r w:rsidR="002514B0">
        <w:t xml:space="preserve"> </w:t>
      </w:r>
      <w:r w:rsidR="00A37210">
        <w:t>change</w:t>
      </w:r>
      <w:r w:rsidR="00142AED">
        <w:t>,</w:t>
      </w:r>
      <w:r w:rsidR="002514B0">
        <w:t xml:space="preserve"> </w:t>
      </w:r>
      <w:r w:rsidR="00A37210">
        <w:t>and</w:t>
      </w:r>
      <w:r w:rsidR="002514B0">
        <w:t xml:space="preserve"> </w:t>
      </w:r>
      <w:r w:rsidR="00A37210">
        <w:t>all</w:t>
      </w:r>
      <w:r w:rsidR="002514B0">
        <w:t xml:space="preserve"> </w:t>
      </w:r>
      <w:r w:rsidR="00A37210">
        <w:t>are</w:t>
      </w:r>
      <w:r w:rsidR="002514B0">
        <w:t xml:space="preserve"> </w:t>
      </w:r>
      <w:r w:rsidR="00A37210">
        <w:t>cost-effective</w:t>
      </w:r>
      <w:r w:rsidR="002514B0">
        <w:t xml:space="preserve"> </w:t>
      </w:r>
      <w:r w:rsidR="00A37210">
        <w:t>customers</w:t>
      </w:r>
      <w:r w:rsidR="00D04AD3">
        <w:t>’</w:t>
      </w:r>
      <w:r w:rsidR="002514B0">
        <w:t xml:space="preserve"> </w:t>
      </w:r>
      <w:r w:rsidR="00A37210">
        <w:t>or</w:t>
      </w:r>
      <w:r w:rsidR="002514B0">
        <w:t xml:space="preserve"> </w:t>
      </w:r>
      <w:r w:rsidR="00A37210">
        <w:t>utility</w:t>
      </w:r>
      <w:r w:rsidR="002514B0">
        <w:t xml:space="preserve"> </w:t>
      </w:r>
      <w:r w:rsidR="00A37210">
        <w:t>regulators’</w:t>
      </w:r>
      <w:r w:rsidR="002514B0">
        <w:t xml:space="preserve"> </w:t>
      </w:r>
      <w:r w:rsidR="00A37210">
        <w:t>choices</w:t>
      </w:r>
      <w:r w:rsidR="001273F9">
        <w:t>.</w:t>
      </w:r>
      <w:r w:rsidR="002514B0">
        <w:t xml:space="preserve"> </w:t>
      </w:r>
      <w:r w:rsidR="001273F9">
        <w:t>The</w:t>
      </w:r>
      <w:r w:rsidR="002514B0">
        <w:t xml:space="preserve"> </w:t>
      </w:r>
      <w:r>
        <w:t>professional-grade</w:t>
      </w:r>
      <w:r w:rsidR="002514B0">
        <w:t xml:space="preserve"> </w:t>
      </w:r>
      <w:r w:rsidR="00A37210">
        <w:t>CLEP_Dashboard</w:t>
      </w:r>
      <w:r w:rsidR="002514B0">
        <w:t xml:space="preserve"> </w:t>
      </w:r>
      <w:r>
        <w:t>u</w:t>
      </w:r>
      <w:r w:rsidR="00D04AD3">
        <w:t>ses</w:t>
      </w:r>
      <w:r w:rsidR="002514B0">
        <w:t xml:space="preserve"> </w:t>
      </w:r>
      <w:r>
        <w:t>2018</w:t>
      </w:r>
      <w:r w:rsidR="002514B0">
        <w:t xml:space="preserve"> </w:t>
      </w:r>
      <w:r>
        <w:t>wholesale</w:t>
      </w:r>
      <w:r w:rsidR="002514B0">
        <w:t xml:space="preserve"> </w:t>
      </w:r>
      <w:r>
        <w:t>price</w:t>
      </w:r>
      <w:r w:rsidR="00D04AD3">
        <w:t>s</w:t>
      </w:r>
      <w:r w:rsidR="002514B0">
        <w:t xml:space="preserve"> </w:t>
      </w:r>
      <w:r>
        <w:t>from</w:t>
      </w:r>
      <w:r w:rsidR="002514B0">
        <w:t xml:space="preserve"> </w:t>
      </w:r>
      <w:r w:rsidRPr="0086249E">
        <w:t>Midcontinent</w:t>
      </w:r>
      <w:r w:rsidR="002514B0">
        <w:t xml:space="preserve"> </w:t>
      </w:r>
      <w:r w:rsidRPr="0086249E">
        <w:t>Independent</w:t>
      </w:r>
      <w:r w:rsidR="002514B0">
        <w:t xml:space="preserve"> </w:t>
      </w:r>
      <w:r w:rsidRPr="0086249E">
        <w:t>System</w:t>
      </w:r>
      <w:r w:rsidR="002514B0">
        <w:t xml:space="preserve"> </w:t>
      </w:r>
      <w:r w:rsidRPr="0086249E">
        <w:t>Operator,</w:t>
      </w:r>
      <w:r w:rsidR="002514B0">
        <w:t xml:space="preserve"> </w:t>
      </w:r>
      <w:r w:rsidRPr="0086249E">
        <w:t>Inc.</w:t>
      </w:r>
      <w:r w:rsidR="002514B0">
        <w:t xml:space="preserve"> </w:t>
      </w:r>
      <w:r>
        <w:t>(MISO)</w:t>
      </w:r>
      <w:r w:rsidR="00D04AD3">
        <w:t>’s</w:t>
      </w:r>
      <w:r w:rsidR="002514B0">
        <w:t xml:space="preserve"> </w:t>
      </w:r>
      <w:r>
        <w:t>database.</w:t>
      </w:r>
      <w:r w:rsidR="00A37210">
        <w:rPr>
          <w:rStyle w:val="FootnoteReference"/>
        </w:rPr>
        <w:footnoteReference w:id="6"/>
      </w:r>
    </w:p>
    <w:p w14:paraId="41CBB2E3" w14:textId="2ACBD6D9" w:rsidR="00AD282F" w:rsidRDefault="008419F3" w:rsidP="008419F3">
      <w:pPr>
        <w:pStyle w:val="BodyText"/>
      </w:pPr>
      <w:r>
        <w:t>CLEP</w:t>
      </w:r>
      <w:r w:rsidR="002514B0">
        <w:t xml:space="preserve"> </w:t>
      </w:r>
      <w:r>
        <w:t>incorporates</w:t>
      </w:r>
      <w:r w:rsidR="002514B0">
        <w:t xml:space="preserve"> </w:t>
      </w:r>
      <w:r>
        <w:t>and</w:t>
      </w:r>
      <w:r w:rsidR="002514B0">
        <w:t xml:space="preserve"> </w:t>
      </w:r>
      <w:r>
        <w:t>builds</w:t>
      </w:r>
      <w:r w:rsidR="002514B0">
        <w:t xml:space="preserve"> </w:t>
      </w:r>
      <w:r>
        <w:t>on</w:t>
      </w:r>
      <w:r w:rsidR="002514B0">
        <w:t xml:space="preserve"> </w:t>
      </w:r>
      <w:r>
        <w:t>modern,</w:t>
      </w:r>
      <w:r w:rsidR="002514B0">
        <w:t xml:space="preserve"> </w:t>
      </w:r>
      <w:r>
        <w:t>currently-used</w:t>
      </w:r>
      <w:r w:rsidR="002514B0">
        <w:t xml:space="preserve"> </w:t>
      </w:r>
      <w:r w:rsidR="00380D11">
        <w:t>kWh</w:t>
      </w:r>
      <w:r w:rsidR="00D04AD3">
        <w:t>-</w:t>
      </w:r>
      <w:r>
        <w:t>saving</w:t>
      </w:r>
      <w:r w:rsidR="002514B0">
        <w:t xml:space="preserve"> </w:t>
      </w:r>
      <w:r w:rsidR="00380D11">
        <w:t>or</w:t>
      </w:r>
      <w:r w:rsidR="002514B0">
        <w:t xml:space="preserve"> </w:t>
      </w:r>
      <w:r w:rsidR="00D04AD3">
        <w:t>CO</w:t>
      </w:r>
      <w:r w:rsidR="00D04AD3" w:rsidRPr="00D04AD3">
        <w:rPr>
          <w:vertAlign w:val="subscript"/>
        </w:rPr>
        <w:t>2</w:t>
      </w:r>
      <w:r w:rsidR="002514B0">
        <w:t xml:space="preserve"> </w:t>
      </w:r>
      <w:r w:rsidR="00D04AD3">
        <w:t>reducing</w:t>
      </w:r>
      <w:r w:rsidR="002514B0">
        <w:t xml:space="preserve"> </w:t>
      </w:r>
      <w:r>
        <w:t>innovations</w:t>
      </w:r>
      <w:r w:rsidR="002514B0">
        <w:t xml:space="preserve"> </w:t>
      </w:r>
      <w:r>
        <w:t>including:</w:t>
      </w:r>
      <w:r w:rsidR="002514B0">
        <w:t xml:space="preserve"> </w:t>
      </w:r>
      <w:r>
        <w:t>energy</w:t>
      </w:r>
      <w:r w:rsidR="002514B0">
        <w:t xml:space="preserve"> </w:t>
      </w:r>
      <w:r>
        <w:t>efficiency</w:t>
      </w:r>
      <w:r w:rsidR="002514B0">
        <w:t xml:space="preserve"> </w:t>
      </w:r>
      <w:r>
        <w:t>(EE),</w:t>
      </w:r>
      <w:r w:rsidR="002514B0">
        <w:t xml:space="preserve"> </w:t>
      </w:r>
      <w:r>
        <w:t>time-of-use</w:t>
      </w:r>
      <w:r w:rsidR="002514B0">
        <w:t xml:space="preserve"> </w:t>
      </w:r>
      <w:r>
        <w:t>(TOU)</w:t>
      </w:r>
      <w:r w:rsidR="002514B0">
        <w:t xml:space="preserve"> </w:t>
      </w:r>
      <w:r>
        <w:t>rates,</w:t>
      </w:r>
      <w:r w:rsidR="002514B0">
        <w:t xml:space="preserve"> </w:t>
      </w:r>
      <w:r>
        <w:t>renewable</w:t>
      </w:r>
      <w:r w:rsidR="002514B0">
        <w:t xml:space="preserve"> </w:t>
      </w:r>
      <w:r>
        <w:t>energy</w:t>
      </w:r>
      <w:r w:rsidR="002514B0">
        <w:t xml:space="preserve"> </w:t>
      </w:r>
      <w:r>
        <w:t>(RE),</w:t>
      </w:r>
      <w:r w:rsidR="002514B0">
        <w:t xml:space="preserve"> </w:t>
      </w:r>
      <w:r>
        <w:t>net</w:t>
      </w:r>
      <w:r w:rsidR="002514B0">
        <w:t xml:space="preserve"> </w:t>
      </w:r>
      <w:r>
        <w:t>energy</w:t>
      </w:r>
      <w:r w:rsidR="002514B0">
        <w:t xml:space="preserve"> </w:t>
      </w:r>
      <w:r>
        <w:t>metering</w:t>
      </w:r>
      <w:r w:rsidR="002514B0">
        <w:t xml:space="preserve"> </w:t>
      </w:r>
      <w:r>
        <w:t>(NEM),</w:t>
      </w:r>
      <w:r w:rsidR="002514B0">
        <w:t xml:space="preserve"> </w:t>
      </w:r>
      <w:r>
        <w:t>integrated</w:t>
      </w:r>
      <w:r w:rsidR="002514B0">
        <w:t xml:space="preserve"> </w:t>
      </w:r>
      <w:r>
        <w:t>resource</w:t>
      </w:r>
      <w:r w:rsidR="002514B0">
        <w:t xml:space="preserve"> </w:t>
      </w:r>
      <w:r>
        <w:t>planning</w:t>
      </w:r>
      <w:r w:rsidR="002514B0">
        <w:t xml:space="preserve"> </w:t>
      </w:r>
      <w:r>
        <w:t>(IRP),</w:t>
      </w:r>
      <w:r w:rsidR="002514B0">
        <w:t xml:space="preserve"> </w:t>
      </w:r>
      <w:r>
        <w:t>distributed</w:t>
      </w:r>
      <w:r w:rsidR="002514B0">
        <w:t xml:space="preserve"> </w:t>
      </w:r>
      <w:r>
        <w:t>resource</w:t>
      </w:r>
      <w:r w:rsidR="002514B0">
        <w:t xml:space="preserve"> </w:t>
      </w:r>
      <w:r>
        <w:t>planning</w:t>
      </w:r>
      <w:r w:rsidR="002514B0">
        <w:t xml:space="preserve"> </w:t>
      </w:r>
      <w:r>
        <w:t>(DRP),</w:t>
      </w:r>
      <w:r w:rsidR="002514B0">
        <w:t xml:space="preserve"> </w:t>
      </w:r>
      <w:r>
        <w:t>distributed</w:t>
      </w:r>
      <w:r w:rsidR="002514B0">
        <w:t xml:space="preserve"> </w:t>
      </w:r>
      <w:r>
        <w:t>energy</w:t>
      </w:r>
      <w:r w:rsidR="002514B0">
        <w:t xml:space="preserve"> </w:t>
      </w:r>
      <w:r>
        <w:t>resources</w:t>
      </w:r>
      <w:r w:rsidR="002514B0">
        <w:t xml:space="preserve"> </w:t>
      </w:r>
      <w:r>
        <w:t>(DER),</w:t>
      </w:r>
      <w:r w:rsidR="002514B0">
        <w:t xml:space="preserve"> </w:t>
      </w:r>
      <w:r>
        <w:t>electric</w:t>
      </w:r>
      <w:r w:rsidR="002514B0">
        <w:t xml:space="preserve"> </w:t>
      </w:r>
      <w:r>
        <w:t>and</w:t>
      </w:r>
      <w:r w:rsidR="002514B0">
        <w:t xml:space="preserve"> </w:t>
      </w:r>
      <w:r>
        <w:t>thermal</w:t>
      </w:r>
      <w:r w:rsidR="002514B0">
        <w:t xml:space="preserve"> </w:t>
      </w:r>
      <w:r>
        <w:t>energy</w:t>
      </w:r>
      <w:r w:rsidR="002514B0">
        <w:t xml:space="preserve"> </w:t>
      </w:r>
      <w:r>
        <w:t>storage,</w:t>
      </w:r>
      <w:r w:rsidR="002514B0">
        <w:t xml:space="preserve"> </w:t>
      </w:r>
      <w:r>
        <w:t>electric</w:t>
      </w:r>
      <w:r w:rsidR="002514B0">
        <w:t xml:space="preserve"> </w:t>
      </w:r>
      <w:r>
        <w:t>vehicles</w:t>
      </w:r>
      <w:r w:rsidR="002514B0">
        <w:t xml:space="preserve"> </w:t>
      </w:r>
      <w:r>
        <w:t>(EV),</w:t>
      </w:r>
      <w:r w:rsidR="002514B0">
        <w:t xml:space="preserve"> </w:t>
      </w:r>
      <w:r>
        <w:t>microgrids,</w:t>
      </w:r>
      <w:r w:rsidR="002514B0">
        <w:t xml:space="preserve"> </w:t>
      </w:r>
      <w:r>
        <w:t>and</w:t>
      </w:r>
      <w:r w:rsidR="002514B0">
        <w:t xml:space="preserve"> </w:t>
      </w:r>
      <w:r>
        <w:t>demand</w:t>
      </w:r>
      <w:r w:rsidR="002514B0">
        <w:t xml:space="preserve"> </w:t>
      </w:r>
      <w:r>
        <w:t>response</w:t>
      </w:r>
      <w:r w:rsidR="002514B0">
        <w:t xml:space="preserve"> </w:t>
      </w:r>
      <w:r>
        <w:t>(DR),</w:t>
      </w:r>
      <w:r w:rsidR="002514B0">
        <w:t xml:space="preserve"> </w:t>
      </w:r>
      <w:r>
        <w:t>all</w:t>
      </w:r>
      <w:r w:rsidR="002514B0">
        <w:t xml:space="preserve"> </w:t>
      </w:r>
      <w:r>
        <w:t>of</w:t>
      </w:r>
      <w:r w:rsidR="002514B0">
        <w:t xml:space="preserve"> </w:t>
      </w:r>
      <w:r>
        <w:t>which</w:t>
      </w:r>
      <w:r w:rsidR="002514B0">
        <w:t xml:space="preserve"> </w:t>
      </w:r>
      <w:r>
        <w:t>serve</w:t>
      </w:r>
      <w:r w:rsidR="002514B0">
        <w:t xml:space="preserve"> </w:t>
      </w:r>
      <w:r>
        <w:t>to</w:t>
      </w:r>
      <w:r w:rsidR="002514B0">
        <w:t xml:space="preserve"> </w:t>
      </w:r>
      <w:r>
        <w:t>flatten</w:t>
      </w:r>
      <w:r w:rsidR="002514B0">
        <w:t xml:space="preserve"> </w:t>
      </w:r>
      <w:r>
        <w:t>the</w:t>
      </w:r>
      <w:r w:rsidR="002514B0">
        <w:t xml:space="preserve"> </w:t>
      </w:r>
      <w:r w:rsidR="00850A69">
        <w:t>utilit</w:t>
      </w:r>
      <w:r w:rsidR="00A219CB">
        <w:t>y’</w:t>
      </w:r>
      <w:r w:rsidR="00850A69">
        <w:t>s</w:t>
      </w:r>
      <w:r w:rsidR="002514B0">
        <w:t xml:space="preserve"> </w:t>
      </w:r>
      <w:r>
        <w:t>peak</w:t>
      </w:r>
      <w:r w:rsidR="002514B0">
        <w:t xml:space="preserve"> </w:t>
      </w:r>
      <w:r>
        <w:t>demand</w:t>
      </w:r>
      <w:r w:rsidR="002514B0">
        <w:t xml:space="preserve"> </w:t>
      </w:r>
      <w:r>
        <w:t>curve.</w:t>
      </w:r>
      <w:r w:rsidR="002514B0">
        <w:t xml:space="preserve"> </w:t>
      </w:r>
    </w:p>
    <w:p w14:paraId="76D9FBBA" w14:textId="68FE0E48" w:rsidR="008419F3" w:rsidRDefault="00142AED" w:rsidP="008419F3">
      <w:pPr>
        <w:pStyle w:val="BodyText"/>
      </w:pPr>
      <w:r>
        <w:t>D</w:t>
      </w:r>
      <w:r w:rsidR="00D04AD3">
        <w:t>riven</w:t>
      </w:r>
      <w:r w:rsidR="002514B0">
        <w:t xml:space="preserve"> </w:t>
      </w:r>
      <w:r w:rsidR="00D04AD3">
        <w:t>by</w:t>
      </w:r>
      <w:r w:rsidR="002514B0">
        <w:t xml:space="preserve"> </w:t>
      </w:r>
      <w:r w:rsidR="00D04AD3">
        <w:t>ratepayer</w:t>
      </w:r>
      <w:r w:rsidR="00AD282F">
        <w:t>s’</w:t>
      </w:r>
      <w:r w:rsidR="002514B0">
        <w:t xml:space="preserve"> </w:t>
      </w:r>
      <w:r w:rsidR="00AD282F">
        <w:t>self-interests</w:t>
      </w:r>
      <w:r w:rsidR="002514B0">
        <w:t xml:space="preserve"> </w:t>
      </w:r>
      <w:r w:rsidR="00AD282F">
        <w:t>and</w:t>
      </w:r>
      <w:r w:rsidR="002514B0">
        <w:t xml:space="preserve"> </w:t>
      </w:r>
      <w:r w:rsidR="008419F3">
        <w:t>CLEP’s</w:t>
      </w:r>
      <w:r w:rsidR="002514B0">
        <w:t xml:space="preserve"> </w:t>
      </w:r>
      <w:r w:rsidR="008419F3">
        <w:t>simple</w:t>
      </w:r>
      <w:r w:rsidR="002514B0">
        <w:t xml:space="preserve"> </w:t>
      </w:r>
      <w:r w:rsidR="008419F3">
        <w:t>rate</w:t>
      </w:r>
      <w:r w:rsidR="002514B0">
        <w:t xml:space="preserve"> </w:t>
      </w:r>
      <w:r w:rsidR="008419F3">
        <w:t>formulation</w:t>
      </w:r>
      <w:r w:rsidR="00AD282F">
        <w:t>s</w:t>
      </w:r>
      <w:r w:rsidR="008419F3">
        <w:t>,</w:t>
      </w:r>
      <w:r w:rsidR="002514B0">
        <w:t xml:space="preserve"> </w:t>
      </w:r>
      <w:r w:rsidR="00380D11">
        <w:t>CLEP</w:t>
      </w:r>
      <w:r w:rsidR="002514B0">
        <w:t xml:space="preserve"> </w:t>
      </w:r>
      <w:r w:rsidR="008419F3">
        <w:t>empowers</w:t>
      </w:r>
      <w:r w:rsidR="002514B0">
        <w:t xml:space="preserve"> </w:t>
      </w:r>
      <w:r w:rsidR="008419F3">
        <w:lastRenderedPageBreak/>
        <w:t>ratepayer</w:t>
      </w:r>
      <w:r w:rsidR="00987FCF">
        <w:t>s</w:t>
      </w:r>
      <w:r w:rsidR="002514B0">
        <w:t xml:space="preserve"> </w:t>
      </w:r>
      <w:r w:rsidR="008419F3">
        <w:t>to</w:t>
      </w:r>
      <w:r w:rsidR="002514B0">
        <w:t xml:space="preserve"> </w:t>
      </w:r>
      <w:r w:rsidR="008419F3">
        <w:t>take</w:t>
      </w:r>
      <w:r w:rsidR="002514B0">
        <w:t xml:space="preserve"> </w:t>
      </w:r>
      <w:r w:rsidR="008419F3">
        <w:t>control</w:t>
      </w:r>
      <w:r w:rsidR="002514B0">
        <w:t xml:space="preserve"> </w:t>
      </w:r>
      <w:r w:rsidR="008419F3">
        <w:t>of</w:t>
      </w:r>
      <w:r w:rsidR="002514B0">
        <w:t xml:space="preserve"> </w:t>
      </w:r>
      <w:r w:rsidR="008419F3">
        <w:t>usage</w:t>
      </w:r>
      <w:r w:rsidR="002514B0">
        <w:t xml:space="preserve"> </w:t>
      </w:r>
      <w:r w:rsidR="008419F3">
        <w:t>on</w:t>
      </w:r>
      <w:r w:rsidR="002514B0">
        <w:t xml:space="preserve"> </w:t>
      </w:r>
      <w:r w:rsidR="008419F3">
        <w:t>their</w:t>
      </w:r>
      <w:r w:rsidR="002514B0">
        <w:t xml:space="preserve"> </w:t>
      </w:r>
      <w:r w:rsidR="008419F3">
        <w:t>side</w:t>
      </w:r>
      <w:r w:rsidR="002514B0">
        <w:t xml:space="preserve"> </w:t>
      </w:r>
      <w:r w:rsidR="008419F3">
        <w:t>of</w:t>
      </w:r>
      <w:r w:rsidR="002514B0">
        <w:t xml:space="preserve"> </w:t>
      </w:r>
      <w:r w:rsidR="008419F3">
        <w:t>the</w:t>
      </w:r>
      <w:r w:rsidR="002514B0">
        <w:t xml:space="preserve"> </w:t>
      </w:r>
      <w:r w:rsidR="008419F3">
        <w:t>meter</w:t>
      </w:r>
      <w:r w:rsidR="002514B0">
        <w:t xml:space="preserve"> </w:t>
      </w:r>
      <w:r w:rsidR="00AD282F">
        <w:t>and</w:t>
      </w:r>
      <w:r w:rsidR="002514B0">
        <w:t xml:space="preserve"> </w:t>
      </w:r>
      <w:r w:rsidR="00AD282F">
        <w:t>optimally</w:t>
      </w:r>
      <w:r w:rsidR="002514B0">
        <w:t xml:space="preserve"> </w:t>
      </w:r>
      <w:r w:rsidR="00AD282F">
        <w:t>orchestrate</w:t>
      </w:r>
      <w:r w:rsidR="002514B0">
        <w:t xml:space="preserve"> </w:t>
      </w:r>
      <w:r w:rsidR="00AD282F">
        <w:t>the</w:t>
      </w:r>
      <w:r w:rsidR="002514B0">
        <w:t xml:space="preserve"> </w:t>
      </w:r>
      <w:r w:rsidR="00AD282F">
        <w:t>use</w:t>
      </w:r>
      <w:r w:rsidR="002514B0">
        <w:t xml:space="preserve"> </w:t>
      </w:r>
      <w:r w:rsidR="00AD282F">
        <w:t>of</w:t>
      </w:r>
      <w:r w:rsidR="002514B0">
        <w:t xml:space="preserve"> </w:t>
      </w:r>
      <w:r w:rsidR="00AD282F">
        <w:t>these</w:t>
      </w:r>
      <w:r w:rsidR="002514B0">
        <w:t xml:space="preserve"> </w:t>
      </w:r>
      <w:r w:rsidR="00AD282F">
        <w:t>myriad</w:t>
      </w:r>
      <w:r w:rsidR="002514B0">
        <w:t xml:space="preserve"> </w:t>
      </w:r>
      <w:r w:rsidR="00AD282F">
        <w:t>innovations</w:t>
      </w:r>
      <w:r w:rsidR="006A0308">
        <w:t>.</w:t>
      </w:r>
      <w:r w:rsidR="002514B0">
        <w:t xml:space="preserve"> </w:t>
      </w:r>
      <w:r w:rsidR="008419F3">
        <w:t>By</w:t>
      </w:r>
      <w:r w:rsidR="002514B0">
        <w:t xml:space="preserve"> </w:t>
      </w:r>
      <w:r w:rsidR="008419F3">
        <w:t>simply</w:t>
      </w:r>
      <w:r w:rsidR="002514B0">
        <w:t xml:space="preserve"> </w:t>
      </w:r>
      <w:r w:rsidR="008419F3">
        <w:t>focusing</w:t>
      </w:r>
      <w:r w:rsidR="002514B0">
        <w:t xml:space="preserve"> </w:t>
      </w:r>
      <w:r w:rsidR="008419F3">
        <w:t>upon</w:t>
      </w:r>
      <w:r w:rsidR="002514B0">
        <w:t xml:space="preserve"> </w:t>
      </w:r>
      <w:r w:rsidR="008419F3">
        <w:t>lowering</w:t>
      </w:r>
      <w:r w:rsidR="002514B0">
        <w:t xml:space="preserve"> </w:t>
      </w:r>
      <w:r w:rsidR="008419F3">
        <w:t>their</w:t>
      </w:r>
      <w:r w:rsidR="002514B0">
        <w:t xml:space="preserve"> </w:t>
      </w:r>
      <w:r w:rsidR="008419F3">
        <w:t>energy</w:t>
      </w:r>
      <w:r w:rsidR="002514B0">
        <w:t xml:space="preserve"> </w:t>
      </w:r>
      <w:r w:rsidR="008419F3">
        <w:t>bills</w:t>
      </w:r>
      <w:r w:rsidR="002514B0">
        <w:t xml:space="preserve"> </w:t>
      </w:r>
      <w:r w:rsidR="008419F3">
        <w:t>and/or</w:t>
      </w:r>
      <w:r w:rsidR="002514B0">
        <w:t xml:space="preserve"> </w:t>
      </w:r>
      <w:r w:rsidR="008419F3">
        <w:t>improving</w:t>
      </w:r>
      <w:r w:rsidR="002514B0">
        <w:t xml:space="preserve"> </w:t>
      </w:r>
      <w:r w:rsidR="008419F3">
        <w:t>reliable</w:t>
      </w:r>
      <w:r w:rsidR="002514B0">
        <w:t xml:space="preserve"> </w:t>
      </w:r>
      <w:r w:rsidR="008419F3">
        <w:t>access</w:t>
      </w:r>
      <w:r w:rsidR="002514B0">
        <w:t xml:space="preserve"> </w:t>
      </w:r>
      <w:r w:rsidR="008419F3">
        <w:t>to</w:t>
      </w:r>
      <w:r w:rsidR="002514B0">
        <w:t xml:space="preserve"> </w:t>
      </w:r>
      <w:r w:rsidR="008419F3">
        <w:t>electricity</w:t>
      </w:r>
      <w:r w:rsidR="002514B0">
        <w:t xml:space="preserve"> </w:t>
      </w:r>
      <w:r w:rsidR="006A0308">
        <w:t>on</w:t>
      </w:r>
      <w:r w:rsidR="002514B0">
        <w:t xml:space="preserve"> </w:t>
      </w:r>
      <w:r w:rsidR="006A0308">
        <w:t>the</w:t>
      </w:r>
      <w:r w:rsidR="002514B0">
        <w:t xml:space="preserve"> </w:t>
      </w:r>
      <w:r w:rsidR="006A0308">
        <w:t>customers’</w:t>
      </w:r>
      <w:r w:rsidR="002514B0">
        <w:t xml:space="preserve"> </w:t>
      </w:r>
      <w:r w:rsidR="006A0308">
        <w:t>side</w:t>
      </w:r>
      <w:r w:rsidR="002514B0">
        <w:t xml:space="preserve"> </w:t>
      </w:r>
      <w:r w:rsidR="006A0308">
        <w:t>of</w:t>
      </w:r>
      <w:r w:rsidR="002514B0">
        <w:t xml:space="preserve"> </w:t>
      </w:r>
      <w:r w:rsidR="006A0308">
        <w:t>the</w:t>
      </w:r>
      <w:r w:rsidR="002514B0">
        <w:t xml:space="preserve"> </w:t>
      </w:r>
      <w:r w:rsidR="006A0308">
        <w:t>meter</w:t>
      </w:r>
      <w:r w:rsidR="008419F3">
        <w:t>,</w:t>
      </w:r>
      <w:r w:rsidR="002514B0">
        <w:t xml:space="preserve"> </w:t>
      </w:r>
      <w:r w:rsidR="008419F3">
        <w:t>CLEP</w:t>
      </w:r>
      <w:r w:rsidR="002514B0">
        <w:t xml:space="preserve"> </w:t>
      </w:r>
      <w:r w:rsidR="008419F3">
        <w:t>customers</w:t>
      </w:r>
      <w:r w:rsidR="002514B0">
        <w:t xml:space="preserve"> </w:t>
      </w:r>
      <w:r w:rsidR="008419F3">
        <w:t>collectively</w:t>
      </w:r>
      <w:r w:rsidR="002514B0">
        <w:t xml:space="preserve"> </w:t>
      </w:r>
      <w:r w:rsidR="008419F3">
        <w:t>generat</w:t>
      </w:r>
      <w:r w:rsidR="006A0308">
        <w:t>e</w:t>
      </w:r>
      <w:r w:rsidR="002514B0">
        <w:t xml:space="preserve"> </w:t>
      </w:r>
      <w:r w:rsidR="008419F3">
        <w:t>market</w:t>
      </w:r>
      <w:r w:rsidR="002514B0">
        <w:t xml:space="preserve"> </w:t>
      </w:r>
      <w:r w:rsidR="008419F3">
        <w:t>transformation,</w:t>
      </w:r>
      <w:r w:rsidR="002514B0">
        <w:t xml:space="preserve"> </w:t>
      </w:r>
      <w:r w:rsidR="008419F3">
        <w:t>rapid</w:t>
      </w:r>
      <w:r w:rsidR="002514B0">
        <w:t xml:space="preserve"> </w:t>
      </w:r>
      <w:r w:rsidR="008419F3">
        <w:t>job</w:t>
      </w:r>
      <w:r w:rsidR="002514B0">
        <w:t xml:space="preserve"> </w:t>
      </w:r>
      <w:r w:rsidR="008419F3">
        <w:t>growth,</w:t>
      </w:r>
      <w:r w:rsidR="002514B0">
        <w:t xml:space="preserve"> </w:t>
      </w:r>
      <w:r w:rsidR="00850A69">
        <w:t>enhance</w:t>
      </w:r>
      <w:r w:rsidR="002514B0">
        <w:t xml:space="preserve"> </w:t>
      </w:r>
      <w:r w:rsidR="00850A69">
        <w:t>utility</w:t>
      </w:r>
      <w:r w:rsidR="002514B0">
        <w:t xml:space="preserve"> </w:t>
      </w:r>
      <w:r w:rsidR="00850A69">
        <w:t>profit</w:t>
      </w:r>
      <w:r w:rsidR="00380D11">
        <w:t>,</w:t>
      </w:r>
      <w:r w:rsidR="002514B0">
        <w:t xml:space="preserve"> </w:t>
      </w:r>
      <w:r w:rsidR="00380D11">
        <w:t>ameliorate</w:t>
      </w:r>
      <w:r w:rsidR="002514B0">
        <w:t xml:space="preserve"> </w:t>
      </w:r>
      <w:r w:rsidR="00380D11">
        <w:t>utility</w:t>
      </w:r>
      <w:r w:rsidR="002514B0">
        <w:t xml:space="preserve"> </w:t>
      </w:r>
      <w:r w:rsidR="00380D11">
        <w:t>reliability</w:t>
      </w:r>
      <w:r w:rsidR="002514B0">
        <w:t xml:space="preserve"> </w:t>
      </w:r>
      <w:r w:rsidR="00380D11">
        <w:t>issues</w:t>
      </w:r>
      <w:r w:rsidR="002514B0">
        <w:t xml:space="preserve"> </w:t>
      </w:r>
      <w:r w:rsidR="008419F3">
        <w:t>and</w:t>
      </w:r>
      <w:r w:rsidR="002514B0">
        <w:t xml:space="preserve"> </w:t>
      </w:r>
      <w:r w:rsidR="00850A69">
        <w:t>another</w:t>
      </w:r>
      <w:r w:rsidR="002514B0">
        <w:t xml:space="preserve"> </w:t>
      </w:r>
      <w:r w:rsidR="008419F3">
        <w:t>important</w:t>
      </w:r>
      <w:r w:rsidR="002514B0">
        <w:t xml:space="preserve"> </w:t>
      </w:r>
      <w:r w:rsidR="00850A69">
        <w:t>and</w:t>
      </w:r>
      <w:r w:rsidR="002514B0">
        <w:t xml:space="preserve"> </w:t>
      </w:r>
      <w:r w:rsidR="008419F3">
        <w:t>intended</w:t>
      </w:r>
      <w:r w:rsidR="002514B0">
        <w:t xml:space="preserve"> </w:t>
      </w:r>
      <w:r w:rsidR="00850A69">
        <w:t>goal:</w:t>
      </w:r>
      <w:r w:rsidR="002514B0">
        <w:t xml:space="preserve"> </w:t>
      </w:r>
      <w:r w:rsidR="008419F3">
        <w:t>lowering</w:t>
      </w:r>
      <w:r w:rsidR="002514B0">
        <w:t xml:space="preserve"> </w:t>
      </w:r>
      <w:r>
        <w:t xml:space="preserve">our </w:t>
      </w:r>
      <w:r w:rsidR="008419F3">
        <w:t>carbon</w:t>
      </w:r>
      <w:r w:rsidR="002514B0">
        <w:t xml:space="preserve"> </w:t>
      </w:r>
      <w:r w:rsidR="006A0308">
        <w:t>footprint</w:t>
      </w:r>
      <w:r>
        <w:t>s</w:t>
      </w:r>
      <w:r w:rsidR="006A0308">
        <w:t>—</w:t>
      </w:r>
      <w:r>
        <w:t>which is urgently</w:t>
      </w:r>
      <w:r w:rsidR="002514B0">
        <w:t xml:space="preserve"> </w:t>
      </w:r>
      <w:r w:rsidR="00850A69">
        <w:t>need</w:t>
      </w:r>
      <w:r>
        <w:t>ed in</w:t>
      </w:r>
      <w:r w:rsidR="002514B0">
        <w:t xml:space="preserve"> </w:t>
      </w:r>
      <w:r w:rsidR="008419F3">
        <w:t>New</w:t>
      </w:r>
      <w:r w:rsidR="002514B0">
        <w:t xml:space="preserve"> </w:t>
      </w:r>
      <w:r w:rsidR="008419F3">
        <w:t>Orleans.</w:t>
      </w:r>
      <w:r w:rsidR="002514B0">
        <w:t xml:space="preserve"> </w:t>
      </w:r>
    </w:p>
    <w:p w14:paraId="5D079710" w14:textId="77777777" w:rsidR="002514B0" w:rsidRDefault="002514B0">
      <w:pPr>
        <w:widowControl/>
        <w:rPr>
          <w:b/>
          <w:bCs/>
          <w:sz w:val="25"/>
          <w:szCs w:val="25"/>
        </w:rPr>
      </w:pPr>
      <w:r>
        <w:br w:type="page"/>
      </w:r>
    </w:p>
    <w:p w14:paraId="63933748" w14:textId="0D3EE879" w:rsidR="008419F3" w:rsidRPr="003C7F6D" w:rsidRDefault="008419F3" w:rsidP="002815C8">
      <w:pPr>
        <w:pStyle w:val="Heading1"/>
      </w:pPr>
      <w:bookmarkStart w:id="5" w:name="_Toc16317717"/>
      <w:bookmarkStart w:id="6" w:name="_Toc16254881"/>
      <w:r w:rsidRPr="003C7F6D">
        <w:lastRenderedPageBreak/>
        <w:t>Merits</w:t>
      </w:r>
      <w:r w:rsidR="002514B0">
        <w:t xml:space="preserve"> </w:t>
      </w:r>
      <w:r w:rsidRPr="003C7F6D">
        <w:t>of</w:t>
      </w:r>
      <w:r w:rsidR="002514B0">
        <w:t xml:space="preserve"> </w:t>
      </w:r>
      <w:r w:rsidRPr="003C7F6D">
        <w:t>CLEP:</w:t>
      </w:r>
      <w:r w:rsidR="002514B0">
        <w:t xml:space="preserve"> </w:t>
      </w:r>
      <w:r w:rsidRPr="003C7F6D">
        <w:t>from</w:t>
      </w:r>
      <w:r w:rsidR="002514B0">
        <w:t xml:space="preserve"> </w:t>
      </w:r>
      <w:r w:rsidRPr="003C7F6D">
        <w:t>Customer’s,</w:t>
      </w:r>
      <w:r w:rsidR="002514B0">
        <w:t xml:space="preserve"> </w:t>
      </w:r>
      <w:r w:rsidRPr="003C7F6D">
        <w:t>Rate</w:t>
      </w:r>
      <w:r w:rsidR="002514B0">
        <w:t xml:space="preserve"> </w:t>
      </w:r>
      <w:r w:rsidRPr="003C7F6D">
        <w:t>Case,</w:t>
      </w:r>
      <w:r w:rsidR="002514B0">
        <w:t xml:space="preserve"> </w:t>
      </w:r>
      <w:r w:rsidRPr="003C7F6D">
        <w:t>then</w:t>
      </w:r>
      <w:r w:rsidR="002514B0">
        <w:t xml:space="preserve"> </w:t>
      </w:r>
      <w:r w:rsidRPr="003C7F6D">
        <w:t>Earth’s</w:t>
      </w:r>
      <w:r w:rsidR="002514B0">
        <w:t xml:space="preserve"> </w:t>
      </w:r>
      <w:r w:rsidRPr="003C7F6D">
        <w:t>perspectives</w:t>
      </w:r>
      <w:bookmarkEnd w:id="5"/>
      <w:bookmarkEnd w:id="6"/>
    </w:p>
    <w:p w14:paraId="21BCA60A" w14:textId="20B2F176" w:rsidR="008419F3" w:rsidRPr="003C7F6D" w:rsidRDefault="008419F3" w:rsidP="008419F3">
      <w:pPr>
        <w:pStyle w:val="Heading2"/>
      </w:pPr>
      <w:bookmarkStart w:id="7" w:name="_Toc16317718"/>
      <w:bookmarkStart w:id="8" w:name="_Toc16254882"/>
      <w:r w:rsidRPr="003C7F6D">
        <w:t>CLEP</w:t>
      </w:r>
      <w:r w:rsidR="002514B0">
        <w:t xml:space="preserve"> </w:t>
      </w:r>
      <w:r w:rsidRPr="003C7F6D">
        <w:t>lowers</w:t>
      </w:r>
      <w:r w:rsidR="002514B0">
        <w:t xml:space="preserve"> </w:t>
      </w:r>
      <w:r w:rsidRPr="003C7F6D">
        <w:t>Customers’</w:t>
      </w:r>
      <w:r w:rsidR="002514B0">
        <w:t xml:space="preserve"> </w:t>
      </w:r>
      <w:r w:rsidRPr="003C7F6D">
        <w:t>economic,</w:t>
      </w:r>
      <w:r w:rsidR="002514B0">
        <w:t xml:space="preserve"> </w:t>
      </w:r>
      <w:r w:rsidRPr="003C7F6D">
        <w:t>societal</w:t>
      </w:r>
      <w:r w:rsidR="002514B0">
        <w:t xml:space="preserve"> </w:t>
      </w:r>
      <w:r w:rsidRPr="003C7F6D">
        <w:t>and</w:t>
      </w:r>
      <w:r w:rsidR="002514B0">
        <w:t xml:space="preserve"> </w:t>
      </w:r>
      <w:r w:rsidRPr="003C7F6D">
        <w:t>environmental</w:t>
      </w:r>
      <w:r w:rsidR="002514B0">
        <w:t xml:space="preserve"> </w:t>
      </w:r>
      <w:r w:rsidRPr="003C7F6D">
        <w:t>costs.</w:t>
      </w:r>
      <w:bookmarkEnd w:id="7"/>
      <w:bookmarkEnd w:id="8"/>
      <w:r w:rsidR="002514B0">
        <w:t xml:space="preserve"> </w:t>
      </w:r>
    </w:p>
    <w:p w14:paraId="5D3AA227" w14:textId="7576DCFC" w:rsidR="008419F3" w:rsidRPr="003C7F6D" w:rsidRDefault="008419F3" w:rsidP="008419F3">
      <w:pPr>
        <w:pStyle w:val="BodyText"/>
      </w:pPr>
      <w:r w:rsidRPr="003C7F6D">
        <w:t>CLEP</w:t>
      </w:r>
      <w:r w:rsidR="002514B0">
        <w:t xml:space="preserve"> </w:t>
      </w:r>
      <w:r w:rsidRPr="003C7F6D">
        <w:t>provides</w:t>
      </w:r>
      <w:r w:rsidR="002514B0">
        <w:t xml:space="preserve"> </w:t>
      </w:r>
      <w:r w:rsidRPr="003C7F6D">
        <w:t>a</w:t>
      </w:r>
      <w:r w:rsidR="002514B0">
        <w:t xml:space="preserve"> </w:t>
      </w:r>
      <w:r w:rsidRPr="003C7F6D">
        <w:t>new</w:t>
      </w:r>
      <w:r w:rsidR="002514B0">
        <w:t xml:space="preserve"> </w:t>
      </w:r>
      <w:r w:rsidRPr="003C7F6D">
        <w:t>and</w:t>
      </w:r>
      <w:r w:rsidR="002514B0">
        <w:t xml:space="preserve"> </w:t>
      </w:r>
      <w:r w:rsidRPr="003C7F6D">
        <w:t>very</w:t>
      </w:r>
      <w:r w:rsidR="002514B0">
        <w:t xml:space="preserve"> </w:t>
      </w:r>
      <w:r w:rsidRPr="003C7F6D">
        <w:t>important</w:t>
      </w:r>
      <w:r w:rsidR="002514B0">
        <w:t xml:space="preserve"> </w:t>
      </w:r>
      <w:r w:rsidRPr="003C7F6D">
        <w:t>innovation</w:t>
      </w:r>
      <w:r w:rsidR="002514B0">
        <w:t xml:space="preserve"> </w:t>
      </w:r>
      <w:r w:rsidRPr="003C7F6D">
        <w:t>to</w:t>
      </w:r>
      <w:r w:rsidR="002514B0">
        <w:t xml:space="preserve"> </w:t>
      </w:r>
      <w:r w:rsidRPr="003C7F6D">
        <w:t>allow</w:t>
      </w:r>
      <w:r w:rsidR="002514B0">
        <w:t xml:space="preserve"> </w:t>
      </w:r>
      <w:r w:rsidRPr="003C7F6D">
        <w:t>Customers</w:t>
      </w:r>
      <w:r w:rsidR="002514B0">
        <w:t xml:space="preserve"> </w:t>
      </w:r>
      <w:r w:rsidRPr="003C7F6D">
        <w:t>to</w:t>
      </w:r>
      <w:r w:rsidR="002514B0">
        <w:t xml:space="preserve"> </w:t>
      </w:r>
      <w:r w:rsidR="009173D4" w:rsidRPr="003C7F6D">
        <w:t>lower</w:t>
      </w:r>
      <w:r w:rsidR="002514B0">
        <w:t xml:space="preserve"> </w:t>
      </w:r>
      <w:r w:rsidRPr="003C7F6D">
        <w:t>energy</w:t>
      </w:r>
      <w:r w:rsidR="002514B0">
        <w:t xml:space="preserve"> </w:t>
      </w:r>
      <w:r w:rsidRPr="003C7F6D">
        <w:t>bill</w:t>
      </w:r>
      <w:r w:rsidR="00797E8B">
        <w:t>s</w:t>
      </w:r>
      <w:r w:rsidRPr="003C7F6D">
        <w:t>,</w:t>
      </w:r>
      <w:r w:rsidR="002514B0">
        <w:t xml:space="preserve"> </w:t>
      </w:r>
      <w:r w:rsidRPr="003C7F6D">
        <w:t>cost-of-energy,</w:t>
      </w:r>
      <w:r w:rsidR="002514B0">
        <w:t xml:space="preserve"> </w:t>
      </w:r>
      <w:r w:rsidRPr="003C7F6D">
        <w:t>cost-of-service,</w:t>
      </w:r>
      <w:r w:rsidR="002514B0">
        <w:t xml:space="preserve"> </w:t>
      </w:r>
      <w:r w:rsidRPr="003C7F6D">
        <w:t>need</w:t>
      </w:r>
      <w:r w:rsidR="002514B0">
        <w:t xml:space="preserve"> </w:t>
      </w:r>
      <w:r w:rsidRPr="003C7F6D">
        <w:t>for</w:t>
      </w:r>
      <w:r w:rsidR="002514B0">
        <w:t xml:space="preserve"> </w:t>
      </w:r>
      <w:r w:rsidRPr="003C7F6D">
        <w:t>peaking</w:t>
      </w:r>
      <w:r w:rsidR="002514B0">
        <w:t xml:space="preserve"> </w:t>
      </w:r>
      <w:r w:rsidRPr="003C7F6D">
        <w:t>plants,</w:t>
      </w:r>
      <w:r w:rsidR="002514B0">
        <w:t xml:space="preserve"> </w:t>
      </w:r>
      <w:r w:rsidRPr="003C7F6D">
        <w:t>carbon</w:t>
      </w:r>
      <w:r w:rsidR="002514B0">
        <w:t xml:space="preserve"> </w:t>
      </w:r>
      <w:r w:rsidRPr="003C7F6D">
        <w:t>footprint</w:t>
      </w:r>
      <w:r w:rsidR="00445F74">
        <w:t>s</w:t>
      </w:r>
      <w:r w:rsidRPr="003C7F6D">
        <w:t>,</w:t>
      </w:r>
      <w:r w:rsidR="002514B0">
        <w:t xml:space="preserve"> </w:t>
      </w:r>
      <w:r w:rsidRPr="003C7F6D">
        <w:t>cross-subsidies,</w:t>
      </w:r>
      <w:r w:rsidR="002514B0">
        <w:t xml:space="preserve"> </w:t>
      </w:r>
      <w:r w:rsidRPr="003C7F6D">
        <w:t>economic</w:t>
      </w:r>
      <w:r w:rsidR="002514B0">
        <w:t xml:space="preserve"> </w:t>
      </w:r>
      <w:r w:rsidRPr="003C7F6D">
        <w:t>and</w:t>
      </w:r>
      <w:r w:rsidR="002514B0">
        <w:t xml:space="preserve"> </w:t>
      </w:r>
      <w:r w:rsidRPr="003C7F6D">
        <w:t>life-threatening</w:t>
      </w:r>
      <w:r w:rsidR="002514B0">
        <w:t xml:space="preserve"> </w:t>
      </w:r>
      <w:r w:rsidRPr="003C7F6D">
        <w:t>effects</w:t>
      </w:r>
      <w:r w:rsidR="002514B0">
        <w:t xml:space="preserve"> </w:t>
      </w:r>
      <w:r w:rsidRPr="003C7F6D">
        <w:t>of</w:t>
      </w:r>
      <w:r w:rsidR="002514B0">
        <w:t xml:space="preserve"> </w:t>
      </w:r>
      <w:r w:rsidRPr="003C7F6D">
        <w:t>power</w:t>
      </w:r>
      <w:r w:rsidR="002514B0">
        <w:t xml:space="preserve"> </w:t>
      </w:r>
      <w:r w:rsidRPr="003C7F6D">
        <w:t>outages,</w:t>
      </w:r>
      <w:r w:rsidR="002514B0">
        <w:t xml:space="preserve"> </w:t>
      </w:r>
      <w:r w:rsidR="006261C2">
        <w:t>et</w:t>
      </w:r>
      <w:r w:rsidR="002514B0">
        <w:t xml:space="preserve"> </w:t>
      </w:r>
      <w:r w:rsidR="006261C2">
        <w:t>cetera</w:t>
      </w:r>
      <w:r w:rsidR="006A0308">
        <w:t>—</w:t>
      </w:r>
      <w:r w:rsidRPr="003C7F6D">
        <w:t>all</w:t>
      </w:r>
      <w:r w:rsidR="002514B0">
        <w:t xml:space="preserve"> </w:t>
      </w:r>
      <w:r w:rsidRPr="003C7F6D">
        <w:t>in</w:t>
      </w:r>
      <w:r w:rsidR="002514B0">
        <w:t xml:space="preserve"> </w:t>
      </w:r>
      <w:r w:rsidRPr="003C7F6D">
        <w:t>a</w:t>
      </w:r>
      <w:r w:rsidR="002514B0">
        <w:t xml:space="preserve"> </w:t>
      </w:r>
      <w:r w:rsidRPr="003C7F6D">
        <w:t>synergistic</w:t>
      </w:r>
      <w:r w:rsidR="002514B0">
        <w:t xml:space="preserve"> </w:t>
      </w:r>
      <w:r w:rsidRPr="003C7F6D">
        <w:t>fashion.</w:t>
      </w:r>
    </w:p>
    <w:p w14:paraId="2D6B87D0" w14:textId="4127A7E0" w:rsidR="008419F3" w:rsidRPr="003C7F6D" w:rsidRDefault="008419F3" w:rsidP="008419F3">
      <w:pPr>
        <w:pStyle w:val="Heading2"/>
      </w:pPr>
      <w:bookmarkStart w:id="9" w:name="_Toc16317719"/>
      <w:bookmarkStart w:id="10" w:name="_Toc16254883"/>
      <w:r w:rsidRPr="003C7F6D">
        <w:t>CLEP</w:t>
      </w:r>
      <w:r w:rsidR="002514B0">
        <w:t xml:space="preserve"> </w:t>
      </w:r>
      <w:r w:rsidRPr="003C7F6D">
        <w:t>best</w:t>
      </w:r>
      <w:r w:rsidR="002514B0">
        <w:t xml:space="preserve"> </w:t>
      </w:r>
      <w:r w:rsidRPr="003C7F6D">
        <w:t>matches</w:t>
      </w:r>
      <w:r w:rsidR="002514B0">
        <w:t xml:space="preserve"> </w:t>
      </w:r>
      <w:r w:rsidRPr="003C7F6D">
        <w:t>the</w:t>
      </w:r>
      <w:r w:rsidR="002514B0">
        <w:t xml:space="preserve"> </w:t>
      </w:r>
      <w:r w:rsidRPr="003C7F6D">
        <w:t>needed</w:t>
      </w:r>
      <w:r w:rsidR="002514B0">
        <w:t xml:space="preserve"> </w:t>
      </w:r>
      <w:r w:rsidRPr="003C7F6D">
        <w:t>transition</w:t>
      </w:r>
      <w:r w:rsidR="002514B0">
        <w:t xml:space="preserve"> </w:t>
      </w:r>
      <w:r w:rsidRPr="003C7F6D">
        <w:t>from</w:t>
      </w:r>
      <w:r w:rsidR="002514B0">
        <w:t xml:space="preserve"> </w:t>
      </w:r>
      <w:r w:rsidRPr="003C7F6D">
        <w:t>old-school</w:t>
      </w:r>
      <w:r w:rsidR="002514B0">
        <w:t xml:space="preserve"> </w:t>
      </w:r>
      <w:r w:rsidRPr="003C7F6D">
        <w:t>to</w:t>
      </w:r>
      <w:r w:rsidR="002514B0">
        <w:t xml:space="preserve"> </w:t>
      </w:r>
      <w:r w:rsidRPr="003C7F6D">
        <w:t>modern</w:t>
      </w:r>
      <w:r w:rsidR="002514B0">
        <w:t xml:space="preserve"> </w:t>
      </w:r>
      <w:r w:rsidRPr="003C7F6D">
        <w:t>Rate</w:t>
      </w:r>
      <w:r w:rsidR="002514B0">
        <w:t xml:space="preserve"> </w:t>
      </w:r>
      <w:r w:rsidRPr="003C7F6D">
        <w:t>Making.</w:t>
      </w:r>
      <w:bookmarkEnd w:id="9"/>
      <w:bookmarkEnd w:id="10"/>
    </w:p>
    <w:p w14:paraId="114601A5" w14:textId="2957EAFD" w:rsidR="008419F3" w:rsidRPr="003C7F6D" w:rsidRDefault="008419F3" w:rsidP="008419F3">
      <w:pPr>
        <w:pStyle w:val="BodyText"/>
      </w:pPr>
      <w:r w:rsidRPr="003C7F6D">
        <w:t>CLEP</w:t>
      </w:r>
      <w:r w:rsidR="002514B0">
        <w:t xml:space="preserve"> </w:t>
      </w:r>
      <w:r w:rsidRPr="003C7F6D">
        <w:t>provides</w:t>
      </w:r>
      <w:r w:rsidR="002514B0">
        <w:t xml:space="preserve"> </w:t>
      </w:r>
      <w:r w:rsidRPr="003C7F6D">
        <w:t>a</w:t>
      </w:r>
      <w:r w:rsidR="002514B0">
        <w:t xml:space="preserve"> </w:t>
      </w:r>
      <w:r w:rsidRPr="003C7F6D">
        <w:t>new</w:t>
      </w:r>
      <w:r w:rsidR="002514B0">
        <w:t xml:space="preserve"> </w:t>
      </w:r>
      <w:r w:rsidRPr="003C7F6D">
        <w:t>and</w:t>
      </w:r>
      <w:r w:rsidR="002514B0">
        <w:t xml:space="preserve"> </w:t>
      </w:r>
      <w:r w:rsidRPr="003C7F6D">
        <w:t>very</w:t>
      </w:r>
      <w:r w:rsidR="002514B0">
        <w:t xml:space="preserve"> </w:t>
      </w:r>
      <w:r w:rsidRPr="003C7F6D">
        <w:t>important</w:t>
      </w:r>
      <w:r w:rsidR="002514B0">
        <w:t xml:space="preserve"> </w:t>
      </w:r>
      <w:r w:rsidRPr="003C7F6D">
        <w:t>tool</w:t>
      </w:r>
      <w:r w:rsidR="002514B0">
        <w:t xml:space="preserve"> </w:t>
      </w:r>
      <w:r w:rsidRPr="003C7F6D">
        <w:t>in</w:t>
      </w:r>
      <w:r w:rsidR="002514B0">
        <w:t xml:space="preserve"> </w:t>
      </w:r>
      <w:r w:rsidRPr="003C7F6D">
        <w:t>a</w:t>
      </w:r>
      <w:r w:rsidR="002514B0">
        <w:t xml:space="preserve"> </w:t>
      </w:r>
      <w:r w:rsidRPr="003C7F6D">
        <w:t>Rate</w:t>
      </w:r>
      <w:r w:rsidR="002514B0">
        <w:t xml:space="preserve"> </w:t>
      </w:r>
      <w:r w:rsidRPr="003C7F6D">
        <w:t>Case</w:t>
      </w:r>
      <w:r w:rsidR="006261C2">
        <w:t>,</w:t>
      </w:r>
      <w:r w:rsidR="002514B0">
        <w:t xml:space="preserve"> </w:t>
      </w:r>
      <w:r w:rsidRPr="003C7F6D">
        <w:t>that</w:t>
      </w:r>
      <w:r w:rsidR="002514B0">
        <w:t xml:space="preserve"> </w:t>
      </w:r>
      <w:r w:rsidRPr="003C7F6D">
        <w:t>rapidly</w:t>
      </w:r>
      <w:r w:rsidR="002514B0">
        <w:t xml:space="preserve"> </w:t>
      </w:r>
      <w:r w:rsidRPr="003C7F6D">
        <w:t>fosters</w:t>
      </w:r>
      <w:r w:rsidR="002514B0">
        <w:t xml:space="preserve"> </w:t>
      </w:r>
      <w:r w:rsidRPr="003C7F6D">
        <w:t>smart</w:t>
      </w:r>
      <w:r w:rsidR="002514B0">
        <w:t xml:space="preserve"> </w:t>
      </w:r>
      <w:r w:rsidRPr="003C7F6D">
        <w:t>use</w:t>
      </w:r>
      <w:r w:rsidR="002514B0">
        <w:t xml:space="preserve"> </w:t>
      </w:r>
      <w:r w:rsidRPr="003C7F6D">
        <w:t>of:</w:t>
      </w:r>
      <w:r w:rsidR="002514B0">
        <w:t xml:space="preserve"> </w:t>
      </w:r>
      <w:r w:rsidRPr="003C7F6D">
        <w:t>Distributed</w:t>
      </w:r>
      <w:r w:rsidR="002514B0">
        <w:t xml:space="preserve"> </w:t>
      </w:r>
      <w:r w:rsidRPr="003C7F6D">
        <w:t>Energy</w:t>
      </w:r>
      <w:r w:rsidR="002514B0">
        <w:t xml:space="preserve"> </w:t>
      </w:r>
      <w:r w:rsidRPr="003C7F6D">
        <w:t>Resources</w:t>
      </w:r>
      <w:r w:rsidR="002514B0">
        <w:t xml:space="preserve"> </w:t>
      </w:r>
      <w:r w:rsidRPr="003C7F6D">
        <w:t>(DER),</w:t>
      </w:r>
      <w:r w:rsidR="002514B0">
        <w:t xml:space="preserve"> </w:t>
      </w:r>
      <w:r w:rsidRPr="003C7F6D">
        <w:t>microgrids,</w:t>
      </w:r>
      <w:r w:rsidR="002514B0">
        <w:t xml:space="preserve"> </w:t>
      </w:r>
      <w:r w:rsidRPr="003C7F6D">
        <w:t>batteries,</w:t>
      </w:r>
      <w:r w:rsidR="002514B0">
        <w:t xml:space="preserve"> </w:t>
      </w:r>
      <w:r w:rsidRPr="003C7F6D">
        <w:t>electric</w:t>
      </w:r>
      <w:r w:rsidR="002514B0">
        <w:t xml:space="preserve"> </w:t>
      </w:r>
      <w:r w:rsidRPr="003C7F6D">
        <w:t>vehicles,</w:t>
      </w:r>
      <w:r w:rsidR="002514B0">
        <w:t xml:space="preserve"> </w:t>
      </w:r>
      <w:r w:rsidRPr="003C7F6D">
        <w:t>renewable</w:t>
      </w:r>
      <w:r w:rsidR="002514B0">
        <w:t xml:space="preserve"> </w:t>
      </w:r>
      <w:r w:rsidRPr="003C7F6D">
        <w:t>energy,</w:t>
      </w:r>
      <w:r w:rsidR="002514B0">
        <w:t xml:space="preserve"> </w:t>
      </w:r>
      <w:r w:rsidRPr="003C7F6D">
        <w:t>energy</w:t>
      </w:r>
      <w:r w:rsidR="002514B0">
        <w:t xml:space="preserve"> </w:t>
      </w:r>
      <w:r w:rsidRPr="003C7F6D">
        <w:t>efficiency</w:t>
      </w:r>
      <w:r w:rsidR="002514B0">
        <w:t xml:space="preserve"> </w:t>
      </w:r>
      <w:r w:rsidRPr="003C7F6D">
        <w:t>all</w:t>
      </w:r>
      <w:r w:rsidR="002514B0">
        <w:t xml:space="preserve"> </w:t>
      </w:r>
      <w:r w:rsidRPr="003C7F6D">
        <w:t>in</w:t>
      </w:r>
      <w:r w:rsidR="002514B0">
        <w:t xml:space="preserve"> </w:t>
      </w:r>
      <w:r w:rsidRPr="003C7F6D">
        <w:t>a</w:t>
      </w:r>
      <w:r w:rsidR="002514B0">
        <w:t xml:space="preserve"> </w:t>
      </w:r>
      <w:r w:rsidRPr="003C7F6D">
        <w:t>manner</w:t>
      </w:r>
      <w:r w:rsidR="002514B0">
        <w:t xml:space="preserve"> </w:t>
      </w:r>
      <w:r w:rsidRPr="003C7F6D">
        <w:t>that</w:t>
      </w:r>
      <w:r w:rsidR="002514B0">
        <w:t xml:space="preserve"> </w:t>
      </w:r>
      <w:r w:rsidRPr="003C7F6D">
        <w:t>can</w:t>
      </w:r>
      <w:r w:rsidR="002514B0">
        <w:t xml:space="preserve"> </w:t>
      </w:r>
      <w:r w:rsidRPr="003C7F6D">
        <w:t>easily</w:t>
      </w:r>
      <w:r w:rsidR="002514B0">
        <w:t xml:space="preserve"> </w:t>
      </w:r>
      <w:r w:rsidRPr="003C7F6D">
        <w:t>be</w:t>
      </w:r>
      <w:r w:rsidR="002514B0">
        <w:t xml:space="preserve"> </w:t>
      </w:r>
      <w:r w:rsidRPr="003C7F6D">
        <w:t>mutually</w:t>
      </w:r>
      <w:r w:rsidR="002514B0">
        <w:t xml:space="preserve"> </w:t>
      </w:r>
      <w:r w:rsidRPr="003C7F6D">
        <w:t>beneficial</w:t>
      </w:r>
      <w:r w:rsidR="002514B0">
        <w:t xml:space="preserve"> </w:t>
      </w:r>
      <w:r w:rsidRPr="003C7F6D">
        <w:t>to</w:t>
      </w:r>
      <w:r w:rsidR="002514B0">
        <w:t xml:space="preserve"> </w:t>
      </w:r>
      <w:r w:rsidRPr="003C7F6D">
        <w:t>all</w:t>
      </w:r>
      <w:r w:rsidR="002514B0">
        <w:t xml:space="preserve"> </w:t>
      </w:r>
      <w:r w:rsidRPr="003C7F6D">
        <w:t>parties</w:t>
      </w:r>
      <w:r w:rsidR="002514B0">
        <w:t xml:space="preserve"> </w:t>
      </w:r>
      <w:r w:rsidRPr="003C7F6D">
        <w:t>and</w:t>
      </w:r>
      <w:r w:rsidR="002514B0">
        <w:t xml:space="preserve"> </w:t>
      </w:r>
      <w:r w:rsidRPr="003C7F6D">
        <w:t>issues</w:t>
      </w:r>
      <w:r w:rsidR="002514B0">
        <w:t xml:space="preserve"> </w:t>
      </w:r>
      <w:r w:rsidRPr="003C7F6D">
        <w:t>including</w:t>
      </w:r>
      <w:r w:rsidR="002514B0">
        <w:t xml:space="preserve"> </w:t>
      </w:r>
      <w:r w:rsidRPr="003C7F6D">
        <w:t>diverse</w:t>
      </w:r>
      <w:r w:rsidR="002514B0">
        <w:t xml:space="preserve"> </w:t>
      </w:r>
      <w:r w:rsidRPr="003C7F6D">
        <w:t>customers</w:t>
      </w:r>
      <w:r w:rsidR="002514B0">
        <w:t xml:space="preserve"> </w:t>
      </w:r>
      <w:r w:rsidRPr="003C7F6D">
        <w:t>within</w:t>
      </w:r>
      <w:r w:rsidR="002514B0">
        <w:t xml:space="preserve"> </w:t>
      </w:r>
      <w:r w:rsidRPr="003C7F6D">
        <w:t>customer</w:t>
      </w:r>
      <w:r w:rsidR="002514B0">
        <w:t xml:space="preserve"> </w:t>
      </w:r>
      <w:r w:rsidRPr="003C7F6D">
        <w:t>classes,</w:t>
      </w:r>
      <w:r w:rsidR="002514B0">
        <w:t xml:space="preserve"> </w:t>
      </w:r>
      <w:r w:rsidRPr="003C7F6D">
        <w:t>different</w:t>
      </w:r>
      <w:r w:rsidR="002514B0">
        <w:t xml:space="preserve"> </w:t>
      </w:r>
      <w:r w:rsidRPr="003C7F6D">
        <w:t>customer</w:t>
      </w:r>
      <w:r w:rsidR="002514B0">
        <w:t xml:space="preserve"> </w:t>
      </w:r>
      <w:r w:rsidRPr="003C7F6D">
        <w:t>classes,</w:t>
      </w:r>
      <w:r w:rsidR="002514B0">
        <w:t xml:space="preserve"> </w:t>
      </w:r>
      <w:r w:rsidRPr="003C7F6D">
        <w:t>access</w:t>
      </w:r>
      <w:r w:rsidR="002514B0">
        <w:t xml:space="preserve"> </w:t>
      </w:r>
      <w:r w:rsidRPr="003C7F6D">
        <w:t>to</w:t>
      </w:r>
      <w:r w:rsidR="002514B0">
        <w:t xml:space="preserve"> </w:t>
      </w:r>
      <w:r w:rsidRPr="003C7F6D">
        <w:t>electricity</w:t>
      </w:r>
      <w:r w:rsidR="002514B0">
        <w:t xml:space="preserve"> </w:t>
      </w:r>
      <w:r w:rsidRPr="003C7F6D">
        <w:t>resources</w:t>
      </w:r>
      <w:r w:rsidR="002514B0">
        <w:t xml:space="preserve"> </w:t>
      </w:r>
      <w:r w:rsidRPr="003C7F6D">
        <w:t>that</w:t>
      </w:r>
      <w:r w:rsidR="002514B0">
        <w:t xml:space="preserve"> </w:t>
      </w:r>
      <w:r w:rsidRPr="003C7F6D">
        <w:t>do</w:t>
      </w:r>
      <w:r w:rsidR="002514B0">
        <w:t xml:space="preserve"> </w:t>
      </w:r>
      <w:r w:rsidRPr="003C7F6D">
        <w:t>not</w:t>
      </w:r>
      <w:r w:rsidR="002514B0">
        <w:t xml:space="preserve"> </w:t>
      </w:r>
      <w:r w:rsidRPr="003C7F6D">
        <w:t>easily</w:t>
      </w:r>
      <w:r w:rsidR="002514B0">
        <w:t xml:space="preserve"> </w:t>
      </w:r>
      <w:r w:rsidRPr="003C7F6D">
        <w:t>fit</w:t>
      </w:r>
      <w:r w:rsidR="002514B0">
        <w:t xml:space="preserve"> </w:t>
      </w:r>
      <w:r w:rsidRPr="003C7F6D">
        <w:t>into</w:t>
      </w:r>
      <w:r w:rsidR="002514B0">
        <w:t xml:space="preserve"> </w:t>
      </w:r>
      <w:r w:rsidRPr="003C7F6D">
        <w:t>the</w:t>
      </w:r>
      <w:r w:rsidR="002514B0">
        <w:t xml:space="preserve"> </w:t>
      </w:r>
      <w:r w:rsidRPr="003C7F6D">
        <w:t>“energy</w:t>
      </w:r>
      <w:r w:rsidR="002514B0">
        <w:t xml:space="preserve"> </w:t>
      </w:r>
      <w:r w:rsidRPr="003C7F6D">
        <w:t>is</w:t>
      </w:r>
      <w:r w:rsidR="002514B0">
        <w:t xml:space="preserve"> </w:t>
      </w:r>
      <w:r w:rsidRPr="003C7F6D">
        <w:t>separate</w:t>
      </w:r>
      <w:r w:rsidR="002514B0">
        <w:t xml:space="preserve"> </w:t>
      </w:r>
      <w:r w:rsidRPr="003C7F6D">
        <w:t>from</w:t>
      </w:r>
      <w:r w:rsidR="002514B0">
        <w:t xml:space="preserve"> </w:t>
      </w:r>
      <w:r w:rsidRPr="003C7F6D">
        <w:t>capacity”</w:t>
      </w:r>
      <w:r w:rsidR="002514B0">
        <w:t xml:space="preserve"> </w:t>
      </w:r>
      <w:r w:rsidRPr="003C7F6D">
        <w:t>rate-making</w:t>
      </w:r>
      <w:r w:rsidR="002514B0">
        <w:t xml:space="preserve"> </w:t>
      </w:r>
      <w:r w:rsidRPr="003C7F6D">
        <w:t>approach,</w:t>
      </w:r>
      <w:r w:rsidR="002514B0">
        <w:t xml:space="preserve"> </w:t>
      </w:r>
      <w:r w:rsidRPr="003C7F6D">
        <w:t>accommodates</w:t>
      </w:r>
      <w:r w:rsidR="002514B0">
        <w:t xml:space="preserve"> </w:t>
      </w:r>
      <w:r w:rsidRPr="003C7F6D">
        <w:t>the</w:t>
      </w:r>
      <w:r w:rsidR="002514B0">
        <w:t xml:space="preserve"> </w:t>
      </w:r>
      <w:r w:rsidRPr="003C7F6D">
        <w:t>rapidly</w:t>
      </w:r>
      <w:r w:rsidR="002514B0">
        <w:t xml:space="preserve"> </w:t>
      </w:r>
      <w:r w:rsidRPr="003C7F6D">
        <w:t>dropping</w:t>
      </w:r>
      <w:r w:rsidR="002514B0">
        <w:t xml:space="preserve"> </w:t>
      </w:r>
      <w:r w:rsidRPr="003C7F6D">
        <w:t>price</w:t>
      </w:r>
      <w:r w:rsidR="002514B0">
        <w:t xml:space="preserve"> </w:t>
      </w:r>
      <w:r w:rsidRPr="003C7F6D">
        <w:t>of</w:t>
      </w:r>
      <w:r w:rsidR="002514B0">
        <w:t xml:space="preserve"> </w:t>
      </w:r>
      <w:r w:rsidRPr="003C7F6D">
        <w:t>renewable</w:t>
      </w:r>
      <w:r w:rsidR="002514B0">
        <w:t xml:space="preserve"> </w:t>
      </w:r>
      <w:r w:rsidRPr="003C7F6D">
        <w:t>energy</w:t>
      </w:r>
      <w:r w:rsidR="002514B0">
        <w:t xml:space="preserve"> </w:t>
      </w:r>
      <w:r w:rsidRPr="003C7F6D">
        <w:t>and</w:t>
      </w:r>
      <w:r w:rsidR="002514B0">
        <w:t xml:space="preserve"> </w:t>
      </w:r>
      <w:r w:rsidRPr="003C7F6D">
        <w:t>batteries</w:t>
      </w:r>
      <w:r w:rsidR="002514B0">
        <w:t xml:space="preserve"> </w:t>
      </w:r>
      <w:r w:rsidRPr="003C7F6D">
        <w:t>that</w:t>
      </w:r>
      <w:r w:rsidR="002514B0">
        <w:t xml:space="preserve"> </w:t>
      </w:r>
      <w:r w:rsidRPr="003C7F6D">
        <w:t>are</w:t>
      </w:r>
      <w:r w:rsidR="002514B0">
        <w:t xml:space="preserve"> </w:t>
      </w:r>
      <w:r w:rsidRPr="003C7F6D">
        <w:t>creating</w:t>
      </w:r>
      <w:r w:rsidR="002514B0">
        <w:t xml:space="preserve"> </w:t>
      </w:r>
      <w:r w:rsidRPr="003C7F6D">
        <w:t>myriad</w:t>
      </w:r>
      <w:r w:rsidR="002514B0">
        <w:t xml:space="preserve"> </w:t>
      </w:r>
      <w:r w:rsidRPr="003C7F6D">
        <w:t>stranded</w:t>
      </w:r>
      <w:r w:rsidR="002514B0">
        <w:t xml:space="preserve"> </w:t>
      </w:r>
      <w:r w:rsidRPr="003C7F6D">
        <w:t>assets,</w:t>
      </w:r>
      <w:r w:rsidR="002514B0">
        <w:t xml:space="preserve"> </w:t>
      </w:r>
      <w:r w:rsidR="00E12B9C">
        <w:t>and</w:t>
      </w:r>
      <w:r w:rsidR="002514B0">
        <w:t xml:space="preserve"> </w:t>
      </w:r>
      <w:r w:rsidRPr="003C7F6D">
        <w:t>how</w:t>
      </w:r>
      <w:r w:rsidR="002514B0">
        <w:t xml:space="preserve"> </w:t>
      </w:r>
      <w:r w:rsidRPr="003C7F6D">
        <w:t>to</w:t>
      </w:r>
      <w:r w:rsidR="002514B0">
        <w:t xml:space="preserve"> </w:t>
      </w:r>
      <w:r w:rsidRPr="003C7F6D">
        <w:t>handle</w:t>
      </w:r>
      <w:r w:rsidR="002514B0">
        <w:t xml:space="preserve"> </w:t>
      </w:r>
      <w:r w:rsidRPr="003C7F6D">
        <w:t>dispatch</w:t>
      </w:r>
      <w:r w:rsidR="002514B0">
        <w:t xml:space="preserve"> </w:t>
      </w:r>
      <w:r w:rsidRPr="003C7F6D">
        <w:t>when</w:t>
      </w:r>
      <w:r w:rsidR="002514B0">
        <w:t xml:space="preserve"> </w:t>
      </w:r>
      <w:r w:rsidRPr="003C7F6D">
        <w:t>there</w:t>
      </w:r>
      <w:r w:rsidR="002514B0">
        <w:t xml:space="preserve"> </w:t>
      </w:r>
      <w:r w:rsidRPr="003C7F6D">
        <w:t>is</w:t>
      </w:r>
      <w:r w:rsidR="002514B0">
        <w:t xml:space="preserve"> </w:t>
      </w:r>
      <w:r w:rsidRPr="003C7F6D">
        <w:t>too</w:t>
      </w:r>
      <w:r w:rsidR="002514B0">
        <w:t xml:space="preserve"> </w:t>
      </w:r>
      <w:r w:rsidRPr="003C7F6D">
        <w:t>much</w:t>
      </w:r>
      <w:r w:rsidR="002514B0">
        <w:t xml:space="preserve"> </w:t>
      </w:r>
      <w:r w:rsidRPr="003C7F6D">
        <w:t>renewable</w:t>
      </w:r>
      <w:r w:rsidR="002514B0">
        <w:t xml:space="preserve"> </w:t>
      </w:r>
      <w:r w:rsidRPr="003C7F6D">
        <w:t>energy.</w:t>
      </w:r>
    </w:p>
    <w:p w14:paraId="45B9CA91" w14:textId="2304F1BF" w:rsidR="008419F3" w:rsidRPr="003C7F6D" w:rsidRDefault="008419F3" w:rsidP="008419F3">
      <w:pPr>
        <w:pStyle w:val="Heading2"/>
      </w:pPr>
      <w:bookmarkStart w:id="11" w:name="_Toc16254884"/>
      <w:bookmarkStart w:id="12" w:name="_Toc16317720"/>
      <w:r w:rsidRPr="003C7F6D">
        <w:t>CLEP</w:t>
      </w:r>
      <w:r w:rsidR="002514B0">
        <w:t xml:space="preserve"> </w:t>
      </w:r>
      <w:r w:rsidRPr="003C7F6D">
        <w:t>provides</w:t>
      </w:r>
      <w:r w:rsidR="002514B0">
        <w:t xml:space="preserve"> </w:t>
      </w:r>
      <w:r w:rsidRPr="003C7F6D">
        <w:t>a</w:t>
      </w:r>
      <w:r w:rsidR="002514B0">
        <w:t xml:space="preserve"> </w:t>
      </w:r>
      <w:r w:rsidRPr="003C7F6D">
        <w:t>rational</w:t>
      </w:r>
      <w:r w:rsidR="002514B0">
        <w:t xml:space="preserve"> </w:t>
      </w:r>
      <w:r w:rsidRPr="003C7F6D">
        <w:t>and</w:t>
      </w:r>
      <w:r w:rsidR="002514B0">
        <w:t xml:space="preserve"> </w:t>
      </w:r>
      <w:r w:rsidRPr="003C7F6D">
        <w:t>uncompromising</w:t>
      </w:r>
      <w:r w:rsidR="002514B0">
        <w:t xml:space="preserve"> </w:t>
      </w:r>
      <w:r w:rsidRPr="003C7F6D">
        <w:t>approach</w:t>
      </w:r>
      <w:r w:rsidR="002514B0">
        <w:t xml:space="preserve"> </w:t>
      </w:r>
      <w:r w:rsidRPr="003C7F6D">
        <w:t>to</w:t>
      </w:r>
      <w:r w:rsidR="002514B0">
        <w:t xml:space="preserve"> </w:t>
      </w:r>
      <w:r w:rsidRPr="003C7F6D">
        <w:t>substantially</w:t>
      </w:r>
      <w:r w:rsidR="002514B0">
        <w:t xml:space="preserve"> </w:t>
      </w:r>
      <w:r w:rsidRPr="003C7F6D">
        <w:t>help</w:t>
      </w:r>
      <w:r w:rsidR="002514B0">
        <w:t xml:space="preserve"> </w:t>
      </w:r>
      <w:r w:rsidRPr="003C7F6D">
        <w:t>ameliorate</w:t>
      </w:r>
      <w:r w:rsidR="002514B0">
        <w:t xml:space="preserve"> </w:t>
      </w:r>
      <w:r w:rsidRPr="003C7F6D">
        <w:t>the</w:t>
      </w:r>
      <w:r w:rsidR="002514B0">
        <w:t xml:space="preserve"> </w:t>
      </w:r>
      <w:r w:rsidRPr="003C7F6D">
        <w:t>Global</w:t>
      </w:r>
      <w:r w:rsidR="002514B0">
        <w:t xml:space="preserve"> </w:t>
      </w:r>
      <w:r w:rsidRPr="003C7F6D">
        <w:t>Warming</w:t>
      </w:r>
      <w:r w:rsidR="002514B0">
        <w:t xml:space="preserve"> </w:t>
      </w:r>
      <w:r w:rsidRPr="003C7F6D">
        <w:t>and</w:t>
      </w:r>
      <w:r w:rsidR="002514B0">
        <w:t xml:space="preserve"> </w:t>
      </w:r>
      <w:r w:rsidRPr="003C7F6D">
        <w:t>Sea</w:t>
      </w:r>
      <w:r w:rsidR="002514B0">
        <w:t xml:space="preserve"> </w:t>
      </w:r>
      <w:r w:rsidRPr="003C7F6D">
        <w:t>Level</w:t>
      </w:r>
      <w:r w:rsidR="002514B0">
        <w:t xml:space="preserve"> </w:t>
      </w:r>
      <w:r w:rsidRPr="003C7F6D">
        <w:t>Rise</w:t>
      </w:r>
      <w:r w:rsidR="002514B0">
        <w:t xml:space="preserve"> </w:t>
      </w:r>
      <w:r w:rsidRPr="003C7F6D">
        <w:t>problem</w:t>
      </w:r>
      <w:bookmarkEnd w:id="11"/>
      <w:r w:rsidR="00445F74">
        <w:t>.</w:t>
      </w:r>
      <w:bookmarkEnd w:id="12"/>
      <w:r w:rsidR="002514B0">
        <w:t xml:space="preserve"> </w:t>
      </w:r>
    </w:p>
    <w:p w14:paraId="039CFC4A" w14:textId="7FC19BE4" w:rsidR="008419F3" w:rsidRDefault="00FC4AE4" w:rsidP="008419F3">
      <w:pPr>
        <w:pStyle w:val="BodyText"/>
      </w:pPr>
      <w:r>
        <w:t>These</w:t>
      </w:r>
      <w:r w:rsidR="002514B0">
        <w:t xml:space="preserve"> </w:t>
      </w:r>
      <w:r>
        <w:t>goals</w:t>
      </w:r>
      <w:r w:rsidR="002514B0">
        <w:t xml:space="preserve"> </w:t>
      </w:r>
      <w:r>
        <w:t>are</w:t>
      </w:r>
      <w:r w:rsidR="002514B0">
        <w:t xml:space="preserve"> </w:t>
      </w:r>
      <w:r>
        <w:t>reached</w:t>
      </w:r>
      <w:r w:rsidR="002514B0">
        <w:t xml:space="preserve"> </w:t>
      </w:r>
      <w:r>
        <w:t>a</w:t>
      </w:r>
      <w:r w:rsidR="006261C2">
        <w:t>t</w:t>
      </w:r>
      <w:r w:rsidR="002514B0">
        <w:t xml:space="preserve"> </w:t>
      </w:r>
      <w:r w:rsidR="008419F3" w:rsidRPr="003C7F6D">
        <w:t>no</w:t>
      </w:r>
      <w:r w:rsidR="002514B0">
        <w:t xml:space="preserve"> </w:t>
      </w:r>
      <w:r w:rsidR="008419F3" w:rsidRPr="003C7F6D">
        <w:t>cost</w:t>
      </w:r>
      <w:r w:rsidR="002514B0">
        <w:t xml:space="preserve"> </w:t>
      </w:r>
      <w:r w:rsidR="008419F3" w:rsidRPr="003C7F6D">
        <w:t>to</w:t>
      </w:r>
      <w:r w:rsidR="002514B0">
        <w:t xml:space="preserve"> </w:t>
      </w:r>
      <w:r w:rsidR="008419F3" w:rsidRPr="003C7F6D">
        <w:t>anyone</w:t>
      </w:r>
      <w:r w:rsidR="006261C2">
        <w:t>,</w:t>
      </w:r>
      <w:r w:rsidR="002514B0">
        <w:t xml:space="preserve"> </w:t>
      </w:r>
      <w:r w:rsidR="006261C2">
        <w:t>and</w:t>
      </w:r>
      <w:r w:rsidR="002514B0">
        <w:t xml:space="preserve"> </w:t>
      </w:r>
      <w:r w:rsidR="008419F3" w:rsidRPr="003C7F6D">
        <w:t>a</w:t>
      </w:r>
      <w:r w:rsidR="002514B0">
        <w:t xml:space="preserve"> </w:t>
      </w:r>
      <w:r w:rsidR="008419F3" w:rsidRPr="003C7F6D">
        <w:t>profit</w:t>
      </w:r>
      <w:r w:rsidR="002514B0">
        <w:t xml:space="preserve"> </w:t>
      </w:r>
      <w:r w:rsidR="008419F3" w:rsidRPr="003C7F6D">
        <w:t>to</w:t>
      </w:r>
      <w:r w:rsidR="002514B0">
        <w:t xml:space="preserve"> </w:t>
      </w:r>
      <w:r w:rsidR="008419F3" w:rsidRPr="003C7F6D">
        <w:t>all</w:t>
      </w:r>
      <w:r w:rsidR="002514B0">
        <w:t xml:space="preserve"> </w:t>
      </w:r>
      <w:r>
        <w:t>by</w:t>
      </w:r>
      <w:r w:rsidR="002514B0">
        <w:t xml:space="preserve"> </w:t>
      </w:r>
      <w:r w:rsidR="00797E8B">
        <w:t>simply</w:t>
      </w:r>
      <w:r w:rsidR="002514B0">
        <w:t xml:space="preserve"> </w:t>
      </w:r>
      <w:r>
        <w:t>empowering</w:t>
      </w:r>
      <w:r w:rsidR="002514B0">
        <w:t xml:space="preserve"> </w:t>
      </w:r>
      <w:r>
        <w:t>energy</w:t>
      </w:r>
      <w:r w:rsidR="002514B0">
        <w:t xml:space="preserve"> </w:t>
      </w:r>
      <w:r>
        <w:t>consumers</w:t>
      </w:r>
      <w:r w:rsidR="002514B0">
        <w:t xml:space="preserve"> and prosumers </w:t>
      </w:r>
      <w:r>
        <w:t>with</w:t>
      </w:r>
      <w:r w:rsidR="002514B0">
        <w:t xml:space="preserve"> </w:t>
      </w:r>
      <w:r w:rsidR="00797E8B">
        <w:t>the</w:t>
      </w:r>
      <w:r w:rsidR="002514B0">
        <w:t xml:space="preserve"> </w:t>
      </w:r>
      <w:r>
        <w:t>tools</w:t>
      </w:r>
      <w:r w:rsidR="002514B0">
        <w:t xml:space="preserve"> </w:t>
      </w:r>
      <w:r>
        <w:t>to</w:t>
      </w:r>
      <w:r w:rsidR="002514B0">
        <w:t xml:space="preserve"> </w:t>
      </w:r>
      <w:r>
        <w:t>make</w:t>
      </w:r>
      <w:r w:rsidR="002514B0">
        <w:t xml:space="preserve"> </w:t>
      </w:r>
      <w:r>
        <w:t>decisions</w:t>
      </w:r>
      <w:r w:rsidR="002514B0">
        <w:t xml:space="preserve"> </w:t>
      </w:r>
      <w:r>
        <w:t>in</w:t>
      </w:r>
      <w:r w:rsidR="002514B0">
        <w:t xml:space="preserve"> </w:t>
      </w:r>
      <w:r w:rsidR="00797E8B">
        <w:t>pursuit</w:t>
      </w:r>
      <w:r w:rsidR="002514B0">
        <w:t xml:space="preserve"> </w:t>
      </w:r>
      <w:r w:rsidR="00797E8B">
        <w:t>of</w:t>
      </w:r>
      <w:r w:rsidR="002514B0">
        <w:t xml:space="preserve"> </w:t>
      </w:r>
      <w:r>
        <w:t>their</w:t>
      </w:r>
      <w:r w:rsidR="002514B0">
        <w:t xml:space="preserve"> </w:t>
      </w:r>
      <w:r>
        <w:t>self-interest</w:t>
      </w:r>
      <w:r w:rsidR="00797E8B">
        <w:t>s.</w:t>
      </w:r>
      <w:r w:rsidR="002514B0">
        <w:t xml:space="preserve"> </w:t>
      </w:r>
    </w:p>
    <w:p w14:paraId="2B8973E1" w14:textId="77777777" w:rsidR="008419F3" w:rsidRPr="003C7F6D" w:rsidRDefault="008419F3" w:rsidP="008419F3">
      <w:pPr>
        <w:pStyle w:val="BodyText"/>
      </w:pPr>
    </w:p>
    <w:p w14:paraId="36D528EA" w14:textId="77777777" w:rsidR="002514B0" w:rsidRDefault="002514B0">
      <w:pPr>
        <w:widowControl/>
        <w:rPr>
          <w:b/>
          <w:bCs/>
          <w:w w:val="105"/>
          <w:sz w:val="25"/>
          <w:szCs w:val="25"/>
        </w:rPr>
      </w:pPr>
      <w:bookmarkStart w:id="13" w:name="_Toc16165394"/>
      <w:r>
        <w:rPr>
          <w:w w:val="105"/>
        </w:rPr>
        <w:br w:type="page"/>
      </w:r>
    </w:p>
    <w:p w14:paraId="18C92A10" w14:textId="5C638096" w:rsidR="001E7FA8" w:rsidRDefault="00F006E7" w:rsidP="001C7AB1">
      <w:pPr>
        <w:pStyle w:val="Heading1"/>
        <w:rPr>
          <w:w w:val="105"/>
        </w:rPr>
      </w:pPr>
      <w:bookmarkStart w:id="14" w:name="_Toc16317721"/>
      <w:bookmarkStart w:id="15" w:name="_Toc16254885"/>
      <w:r>
        <w:rPr>
          <w:w w:val="105"/>
        </w:rPr>
        <w:lastRenderedPageBreak/>
        <w:t>The</w:t>
      </w:r>
      <w:r w:rsidR="002514B0">
        <w:rPr>
          <w:w w:val="105"/>
        </w:rPr>
        <w:t xml:space="preserve"> </w:t>
      </w:r>
      <w:r>
        <w:rPr>
          <w:w w:val="105"/>
        </w:rPr>
        <w:t>Council</w:t>
      </w:r>
      <w:r w:rsidR="002514B0">
        <w:rPr>
          <w:w w:val="105"/>
        </w:rPr>
        <w:t xml:space="preserve"> </w:t>
      </w:r>
      <w:r w:rsidR="002815C8">
        <w:rPr>
          <w:w w:val="105"/>
        </w:rPr>
        <w:t xml:space="preserve">should </w:t>
      </w:r>
      <w:r w:rsidR="00FE337B">
        <w:rPr>
          <w:w w:val="105"/>
        </w:rPr>
        <w:t>appoint</w:t>
      </w:r>
      <w:r w:rsidR="002514B0">
        <w:rPr>
          <w:w w:val="105"/>
        </w:rPr>
        <w:t xml:space="preserve"> </w:t>
      </w:r>
      <w:r w:rsidR="008B55D7" w:rsidRPr="001C7AB1">
        <w:rPr>
          <w:w w:val="105"/>
        </w:rPr>
        <w:t>a</w:t>
      </w:r>
      <w:r w:rsidR="002514B0">
        <w:rPr>
          <w:w w:val="105"/>
        </w:rPr>
        <w:t xml:space="preserve"> </w:t>
      </w:r>
      <w:r w:rsidRPr="00F006E7">
        <w:rPr>
          <w:i/>
          <w:iCs/>
        </w:rPr>
        <w:t>Load</w:t>
      </w:r>
      <w:r w:rsidR="002514B0">
        <w:rPr>
          <w:i/>
          <w:iCs/>
        </w:rPr>
        <w:t xml:space="preserve"> </w:t>
      </w:r>
      <w:r w:rsidRPr="00F006E7">
        <w:rPr>
          <w:i/>
          <w:iCs/>
        </w:rPr>
        <w:t>Flexibility</w:t>
      </w:r>
      <w:r w:rsidR="002514B0">
        <w:rPr>
          <w:i/>
          <w:iCs/>
        </w:rPr>
        <w:t xml:space="preserve"> </w:t>
      </w:r>
      <w:r w:rsidRPr="00F006E7">
        <w:rPr>
          <w:i/>
          <w:iCs/>
        </w:rPr>
        <w:t>and</w:t>
      </w:r>
      <w:r w:rsidR="002514B0">
        <w:rPr>
          <w:i/>
          <w:iCs/>
        </w:rPr>
        <w:t xml:space="preserve"> </w:t>
      </w:r>
      <w:r w:rsidRPr="00F006E7">
        <w:rPr>
          <w:i/>
          <w:iCs/>
        </w:rPr>
        <w:t>Time-of-Use</w:t>
      </w:r>
      <w:r w:rsidR="002514B0">
        <w:rPr>
          <w:i/>
          <w:iCs/>
        </w:rPr>
        <w:t xml:space="preserve"> </w:t>
      </w:r>
      <w:r w:rsidRPr="00F006E7">
        <w:rPr>
          <w:i/>
          <w:iCs/>
        </w:rPr>
        <w:t>Rate</w:t>
      </w:r>
      <w:r w:rsidR="00970CDF">
        <w:rPr>
          <w:i/>
          <w:iCs/>
        </w:rPr>
        <w:t>-</w:t>
      </w:r>
      <w:r w:rsidRPr="00F006E7">
        <w:rPr>
          <w:i/>
          <w:iCs/>
        </w:rPr>
        <w:t>Design</w:t>
      </w:r>
      <w:r w:rsidR="002514B0">
        <w:rPr>
          <w:i/>
          <w:iCs/>
        </w:rPr>
        <w:t xml:space="preserve"> </w:t>
      </w:r>
      <w:r w:rsidR="008B55D7" w:rsidRPr="00F006E7">
        <w:rPr>
          <w:i/>
          <w:iCs/>
          <w:w w:val="105"/>
        </w:rPr>
        <w:t>Working</w:t>
      </w:r>
      <w:r w:rsidR="002514B0">
        <w:rPr>
          <w:i/>
          <w:iCs/>
          <w:w w:val="105"/>
        </w:rPr>
        <w:t xml:space="preserve"> </w:t>
      </w:r>
      <w:r w:rsidR="008B55D7" w:rsidRPr="00F006E7">
        <w:rPr>
          <w:i/>
          <w:iCs/>
          <w:w w:val="105"/>
        </w:rPr>
        <w:t>Group</w:t>
      </w:r>
      <w:bookmarkEnd w:id="13"/>
      <w:bookmarkEnd w:id="14"/>
      <w:bookmarkEnd w:id="15"/>
      <w:r w:rsidR="002514B0">
        <w:rPr>
          <w:w w:val="105"/>
        </w:rPr>
        <w:t xml:space="preserve"> </w:t>
      </w:r>
    </w:p>
    <w:p w14:paraId="1A01083C" w14:textId="2CE2864A" w:rsidR="00D15E01" w:rsidRDefault="00D15E01" w:rsidP="00D15E01">
      <w:pPr>
        <w:pStyle w:val="BodyText"/>
        <w:rPr>
          <w:rFonts w:ascii="Arial" w:hAnsi="Arial" w:cs="Arial"/>
          <w:color w:val="222222"/>
        </w:rPr>
      </w:pPr>
      <w:r>
        <w:t>Given</w:t>
      </w:r>
      <w:r w:rsidR="002514B0">
        <w:t xml:space="preserve"> </w:t>
      </w:r>
      <w:r>
        <w:t>the</w:t>
      </w:r>
      <w:r w:rsidR="002514B0">
        <w:t xml:space="preserve"> </w:t>
      </w:r>
      <w:r>
        <w:t>growing</w:t>
      </w:r>
      <w:r w:rsidR="002514B0">
        <w:t xml:space="preserve"> </w:t>
      </w:r>
      <w:r>
        <w:t>recognition</w:t>
      </w:r>
      <w:r w:rsidR="002514B0">
        <w:t xml:space="preserve"> </w:t>
      </w:r>
      <w:r>
        <w:t>across</w:t>
      </w:r>
      <w:r w:rsidR="002514B0">
        <w:t xml:space="preserve"> </w:t>
      </w:r>
      <w:r>
        <w:t>the</w:t>
      </w:r>
      <w:r w:rsidR="002514B0">
        <w:t xml:space="preserve"> </w:t>
      </w:r>
      <w:r>
        <w:t>country</w:t>
      </w:r>
      <w:r w:rsidR="002514B0">
        <w:t xml:space="preserve"> </w:t>
      </w:r>
      <w:r>
        <w:t>of</w:t>
      </w:r>
      <w:r w:rsidR="002514B0">
        <w:t xml:space="preserve"> </w:t>
      </w:r>
      <w:r>
        <w:t>the</w:t>
      </w:r>
      <w:r w:rsidR="002514B0">
        <w:t xml:space="preserve"> </w:t>
      </w:r>
      <w:r>
        <w:t>importance</w:t>
      </w:r>
      <w:r w:rsidR="002514B0">
        <w:t xml:space="preserve"> </w:t>
      </w:r>
      <w:r>
        <w:t>of</w:t>
      </w:r>
      <w:r w:rsidR="002514B0">
        <w:t xml:space="preserve"> </w:t>
      </w:r>
      <w:r>
        <w:t>expanding</w:t>
      </w:r>
      <w:r w:rsidR="002514B0">
        <w:t xml:space="preserve"> </w:t>
      </w:r>
      <w:r>
        <w:t>the</w:t>
      </w:r>
      <w:r w:rsidR="002514B0">
        <w:t xml:space="preserve"> </w:t>
      </w:r>
      <w:r>
        <w:t>flexibility</w:t>
      </w:r>
      <w:r w:rsidR="002514B0">
        <w:t xml:space="preserve"> </w:t>
      </w:r>
      <w:r>
        <w:t>of</w:t>
      </w:r>
      <w:r w:rsidR="002514B0">
        <w:t xml:space="preserve"> </w:t>
      </w:r>
      <w:r>
        <w:t>electric</w:t>
      </w:r>
      <w:r w:rsidR="002514B0">
        <w:t xml:space="preserve"> </w:t>
      </w:r>
      <w:r>
        <w:t>loads,</w:t>
      </w:r>
      <w:r w:rsidR="002514B0">
        <w:t xml:space="preserve"> </w:t>
      </w:r>
      <w:r>
        <w:t>and</w:t>
      </w:r>
      <w:r w:rsidR="002514B0">
        <w:t xml:space="preserve"> </w:t>
      </w:r>
      <w:r>
        <w:t>the</w:t>
      </w:r>
      <w:r w:rsidR="002514B0">
        <w:t xml:space="preserve"> </w:t>
      </w:r>
      <w:r>
        <w:t>potential</w:t>
      </w:r>
      <w:r w:rsidR="002514B0">
        <w:t xml:space="preserve"> </w:t>
      </w:r>
      <w:r>
        <w:t>for</w:t>
      </w:r>
      <w:r w:rsidR="002514B0">
        <w:t xml:space="preserve"> </w:t>
      </w:r>
      <w:r>
        <w:t>significant</w:t>
      </w:r>
      <w:r w:rsidR="002514B0">
        <w:t xml:space="preserve"> </w:t>
      </w:r>
      <w:r>
        <w:t>cost</w:t>
      </w:r>
      <w:r w:rsidR="002514B0">
        <w:t xml:space="preserve"> </w:t>
      </w:r>
      <w:r>
        <w:t>savings</w:t>
      </w:r>
      <w:r w:rsidR="002514B0">
        <w:t xml:space="preserve"> </w:t>
      </w:r>
      <w:r>
        <w:t>for</w:t>
      </w:r>
      <w:r w:rsidR="002514B0">
        <w:t xml:space="preserve"> </w:t>
      </w:r>
      <w:r>
        <w:t>both</w:t>
      </w:r>
      <w:r w:rsidR="002514B0">
        <w:t xml:space="preserve"> </w:t>
      </w:r>
      <w:r>
        <w:t>utility</w:t>
      </w:r>
      <w:r w:rsidR="002514B0">
        <w:t xml:space="preserve"> </w:t>
      </w:r>
      <w:r>
        <w:t>customers</w:t>
      </w:r>
      <w:r w:rsidR="002514B0">
        <w:t xml:space="preserve"> </w:t>
      </w:r>
      <w:r>
        <w:t>and</w:t>
      </w:r>
      <w:r w:rsidR="002514B0">
        <w:t xml:space="preserve"> </w:t>
      </w:r>
      <w:r>
        <w:t>utilities,</w:t>
      </w:r>
      <w:r w:rsidR="002514B0">
        <w:t xml:space="preserve"> </w:t>
      </w:r>
      <w:r>
        <w:t>it</w:t>
      </w:r>
      <w:r w:rsidR="002514B0">
        <w:t xml:space="preserve"> </w:t>
      </w:r>
      <w:r>
        <w:t>is</w:t>
      </w:r>
      <w:r w:rsidR="002514B0">
        <w:t xml:space="preserve"> </w:t>
      </w:r>
      <w:r>
        <w:t>imperative</w:t>
      </w:r>
      <w:r w:rsidR="002514B0">
        <w:t xml:space="preserve"> </w:t>
      </w:r>
      <w:r>
        <w:t>that</w:t>
      </w:r>
      <w:r w:rsidR="002514B0">
        <w:t xml:space="preserve"> </w:t>
      </w:r>
      <w:r>
        <w:t>work</w:t>
      </w:r>
      <w:r w:rsidR="002514B0">
        <w:t xml:space="preserve"> </w:t>
      </w:r>
      <w:r>
        <w:t>begin</w:t>
      </w:r>
      <w:r w:rsidR="002514B0">
        <w:t xml:space="preserve"> </w:t>
      </w:r>
      <w:r>
        <w:t>immediately</w:t>
      </w:r>
      <w:r w:rsidR="002514B0">
        <w:t xml:space="preserve"> </w:t>
      </w:r>
      <w:r>
        <w:t>in</w:t>
      </w:r>
      <w:r w:rsidR="002514B0">
        <w:t xml:space="preserve"> </w:t>
      </w:r>
      <w:r>
        <w:t>designing</w:t>
      </w:r>
      <w:r w:rsidR="002514B0">
        <w:t xml:space="preserve"> </w:t>
      </w:r>
      <w:r>
        <w:t>and</w:t>
      </w:r>
      <w:r w:rsidR="002514B0">
        <w:t xml:space="preserve"> </w:t>
      </w:r>
      <w:r>
        <w:t>implementing</w:t>
      </w:r>
      <w:r w:rsidR="002514B0">
        <w:t xml:space="preserve"> </w:t>
      </w:r>
      <w:r>
        <w:t>CLEP’s</w:t>
      </w:r>
      <w:r w:rsidR="002514B0">
        <w:t xml:space="preserve"> </w:t>
      </w:r>
      <w:r>
        <w:t>innovative,</w:t>
      </w:r>
      <w:r w:rsidR="002514B0">
        <w:t xml:space="preserve"> </w:t>
      </w:r>
      <w:r>
        <w:t>customer-based</w:t>
      </w:r>
      <w:r w:rsidR="002514B0">
        <w:t xml:space="preserve"> </w:t>
      </w:r>
      <w:r>
        <w:t>approach</w:t>
      </w:r>
      <w:r w:rsidR="002514B0">
        <w:t xml:space="preserve"> </w:t>
      </w:r>
      <w:r>
        <w:t>to</w:t>
      </w:r>
      <w:r w:rsidR="002514B0">
        <w:t xml:space="preserve"> </w:t>
      </w:r>
      <w:r>
        <w:t>capturing</w:t>
      </w:r>
      <w:r w:rsidR="002514B0">
        <w:t xml:space="preserve"> </w:t>
      </w:r>
      <w:r>
        <w:t>cost</w:t>
      </w:r>
      <w:r w:rsidR="002514B0">
        <w:t xml:space="preserve"> </w:t>
      </w:r>
      <w:r>
        <w:t>savings,</w:t>
      </w:r>
      <w:r w:rsidR="002514B0">
        <w:t xml:space="preserve"> </w:t>
      </w:r>
      <w:r>
        <w:t>efficiencies,</w:t>
      </w:r>
      <w:r w:rsidR="002514B0">
        <w:t xml:space="preserve"> </w:t>
      </w:r>
      <w:r>
        <w:t>and</w:t>
      </w:r>
      <w:r w:rsidR="002514B0">
        <w:t xml:space="preserve"> </w:t>
      </w:r>
      <w:r>
        <w:t>improved</w:t>
      </w:r>
      <w:r w:rsidR="002514B0">
        <w:t xml:space="preserve"> </w:t>
      </w:r>
      <w:r>
        <w:t>system</w:t>
      </w:r>
      <w:r w:rsidR="002514B0">
        <w:t xml:space="preserve"> </w:t>
      </w:r>
      <w:r>
        <w:t>reliability.</w:t>
      </w:r>
      <w:r w:rsidR="002514B0">
        <w:t xml:space="preserve"> </w:t>
      </w:r>
      <w:r>
        <w:t>Th</w:t>
      </w:r>
      <w:r w:rsidR="002514B0">
        <w:t xml:space="preserve">is </w:t>
      </w:r>
      <w:hyperlink r:id="rId10" w:history="1">
        <w:r w:rsidR="002514B0" w:rsidRPr="002514B0">
          <w:rPr>
            <w:rStyle w:val="Hyperlink"/>
          </w:rPr>
          <w:t>article</w:t>
        </w:r>
      </w:hyperlink>
      <w:r w:rsidR="002514B0">
        <w:t xml:space="preserve"> </w:t>
      </w:r>
      <w:r>
        <w:t>by</w:t>
      </w:r>
      <w:r w:rsidR="002514B0">
        <w:t xml:space="preserve"> </w:t>
      </w:r>
      <w:r>
        <w:t>David</w:t>
      </w:r>
      <w:r w:rsidR="002514B0">
        <w:t xml:space="preserve"> </w:t>
      </w:r>
      <w:r>
        <w:t>Roberts</w:t>
      </w:r>
      <w:r w:rsidR="002514B0">
        <w:t xml:space="preserve"> </w:t>
      </w:r>
      <w:r>
        <w:t>at</w:t>
      </w:r>
      <w:r w:rsidR="002514B0">
        <w:t xml:space="preserve"> </w:t>
      </w:r>
      <w:r>
        <w:t>Vox.com</w:t>
      </w:r>
      <w:r w:rsidR="002514B0">
        <w:t xml:space="preserve"> </w:t>
      </w:r>
      <w:r>
        <w:t>illustrates</w:t>
      </w:r>
      <w:r w:rsidR="002514B0">
        <w:t xml:space="preserve"> </w:t>
      </w:r>
      <w:r>
        <w:t>how</w:t>
      </w:r>
      <w:r w:rsidR="002514B0">
        <w:t xml:space="preserve"> </w:t>
      </w:r>
      <w:r>
        <w:t>important</w:t>
      </w:r>
      <w:r w:rsidR="002514B0">
        <w:t xml:space="preserve"> </w:t>
      </w:r>
      <w:r>
        <w:t>load</w:t>
      </w:r>
      <w:r w:rsidR="002514B0">
        <w:t xml:space="preserve"> </w:t>
      </w:r>
      <w:r>
        <w:t>flexibility</w:t>
      </w:r>
      <w:r w:rsidR="002514B0">
        <w:t xml:space="preserve"> </w:t>
      </w:r>
      <w:r>
        <w:t>and</w:t>
      </w:r>
      <w:r w:rsidR="002514B0">
        <w:t xml:space="preserve"> </w:t>
      </w:r>
      <w:r>
        <w:t>time</w:t>
      </w:r>
      <w:r w:rsidR="00F006E7">
        <w:t>-</w:t>
      </w:r>
      <w:r>
        <w:t>of</w:t>
      </w:r>
      <w:r w:rsidR="00F006E7">
        <w:t>-</w:t>
      </w:r>
      <w:r>
        <w:t>use</w:t>
      </w:r>
      <w:r w:rsidR="002514B0">
        <w:t xml:space="preserve"> </w:t>
      </w:r>
      <w:r w:rsidR="00F006E7">
        <w:t>(TOU)</w:t>
      </w:r>
      <w:r w:rsidR="002514B0">
        <w:t xml:space="preserve"> </w:t>
      </w:r>
      <w:r>
        <w:t>pricing</w:t>
      </w:r>
      <w:r w:rsidR="002514B0">
        <w:t xml:space="preserve"> </w:t>
      </w:r>
      <w:r>
        <w:t>incentives</w:t>
      </w:r>
      <w:r w:rsidR="002514B0">
        <w:t xml:space="preserve"> </w:t>
      </w:r>
      <w:r>
        <w:t>are</w:t>
      </w:r>
      <w:r w:rsidR="002514B0">
        <w:t xml:space="preserve"> </w:t>
      </w:r>
      <w:r>
        <w:t>for</w:t>
      </w:r>
      <w:r w:rsidR="002514B0">
        <w:t xml:space="preserve"> </w:t>
      </w:r>
      <w:r>
        <w:t>both</w:t>
      </w:r>
      <w:r w:rsidR="002514B0">
        <w:t xml:space="preserve"> </w:t>
      </w:r>
      <w:r>
        <w:t>cost</w:t>
      </w:r>
      <w:r w:rsidR="002514B0">
        <w:t xml:space="preserve"> </w:t>
      </w:r>
      <w:r>
        <w:t>savings</w:t>
      </w:r>
      <w:r w:rsidR="002514B0">
        <w:t xml:space="preserve"> </w:t>
      </w:r>
      <w:r>
        <w:t>and</w:t>
      </w:r>
      <w:r w:rsidR="002514B0">
        <w:t xml:space="preserve"> </w:t>
      </w:r>
      <w:r>
        <w:t>improving</w:t>
      </w:r>
      <w:r w:rsidR="002514B0">
        <w:t xml:space="preserve"> </w:t>
      </w:r>
      <w:r>
        <w:t>system</w:t>
      </w:r>
      <w:r w:rsidR="002514B0">
        <w:t xml:space="preserve"> </w:t>
      </w:r>
      <w:r>
        <w:t>reliability.</w:t>
      </w:r>
    </w:p>
    <w:p w14:paraId="515D33EF" w14:textId="29075CDF" w:rsidR="00D15E01" w:rsidRDefault="002514B0" w:rsidP="00D15E01">
      <w:pPr>
        <w:pStyle w:val="BodyText"/>
        <w:rPr>
          <w:rFonts w:ascii="Arial" w:hAnsi="Arial" w:cs="Arial"/>
          <w:color w:val="222222"/>
        </w:rPr>
      </w:pPr>
      <w:r>
        <w:t xml:space="preserve"> </w:t>
      </w:r>
      <w:r w:rsidR="00D15E01">
        <w:t>In</w:t>
      </w:r>
      <w:r>
        <w:t xml:space="preserve"> </w:t>
      </w:r>
      <w:r w:rsidR="00D15E01">
        <w:t>response</w:t>
      </w:r>
      <w:r>
        <w:t xml:space="preserve"> </w:t>
      </w:r>
      <w:r w:rsidR="00D15E01">
        <w:t>to</w:t>
      </w:r>
      <w:r>
        <w:t xml:space="preserve"> </w:t>
      </w:r>
      <w:r w:rsidR="00D15E01">
        <w:t>several</w:t>
      </w:r>
      <w:r>
        <w:t xml:space="preserve"> </w:t>
      </w:r>
      <w:r w:rsidR="00D15E01">
        <w:t>comments</w:t>
      </w:r>
      <w:r>
        <w:t xml:space="preserve"> </w:t>
      </w:r>
      <w:r w:rsidR="00D15E01">
        <w:t>and</w:t>
      </w:r>
      <w:r>
        <w:t xml:space="preserve"> </w:t>
      </w:r>
      <w:r w:rsidR="00D15E01">
        <w:t>observations</w:t>
      </w:r>
      <w:r>
        <w:t xml:space="preserve"> </w:t>
      </w:r>
      <w:r w:rsidR="00D15E01">
        <w:t>by</w:t>
      </w:r>
      <w:r>
        <w:t xml:space="preserve"> </w:t>
      </w:r>
      <w:r w:rsidR="00D15E01">
        <w:t>parties</w:t>
      </w:r>
      <w:r>
        <w:t xml:space="preserve"> </w:t>
      </w:r>
      <w:r w:rsidR="00D15E01">
        <w:t>expressing</w:t>
      </w:r>
      <w:r>
        <w:t xml:space="preserve"> </w:t>
      </w:r>
      <w:r w:rsidR="00D15E01">
        <w:t>concerns</w:t>
      </w:r>
      <w:r>
        <w:t xml:space="preserve"> </w:t>
      </w:r>
      <w:r w:rsidR="00D15E01">
        <w:t>and/or</w:t>
      </w:r>
      <w:r>
        <w:t xml:space="preserve"> </w:t>
      </w:r>
      <w:r w:rsidR="00D15E01">
        <w:t>opposition</w:t>
      </w:r>
      <w:r>
        <w:t xml:space="preserve"> </w:t>
      </w:r>
      <w:r w:rsidR="00D15E01">
        <w:t>to</w:t>
      </w:r>
      <w:r>
        <w:t xml:space="preserve"> </w:t>
      </w:r>
      <w:r w:rsidR="00D15E01">
        <w:t>moving</w:t>
      </w:r>
      <w:r>
        <w:t xml:space="preserve"> </w:t>
      </w:r>
      <w:r w:rsidR="00D15E01">
        <w:t>forward</w:t>
      </w:r>
      <w:r>
        <w:t xml:space="preserve"> </w:t>
      </w:r>
      <w:r w:rsidR="00D15E01">
        <w:t>with</w:t>
      </w:r>
      <w:r>
        <w:t xml:space="preserve"> </w:t>
      </w:r>
      <w:r w:rsidR="00D15E01">
        <w:t>CLEP,</w:t>
      </w:r>
      <w:r>
        <w:t xml:space="preserve"> </w:t>
      </w:r>
      <w:r w:rsidR="00D15E01">
        <w:t>we</w:t>
      </w:r>
      <w:r>
        <w:t xml:space="preserve"> </w:t>
      </w:r>
      <w:r w:rsidR="00D15E01">
        <w:t>respectfully</w:t>
      </w:r>
      <w:r>
        <w:t xml:space="preserve"> </w:t>
      </w:r>
      <w:r w:rsidR="00D15E01">
        <w:t>suggest</w:t>
      </w:r>
      <w:r>
        <w:t xml:space="preserve"> </w:t>
      </w:r>
      <w:r w:rsidR="00D15E01">
        <w:t>that</w:t>
      </w:r>
      <w:r>
        <w:t xml:space="preserve"> </w:t>
      </w:r>
      <w:r w:rsidR="00D15E01">
        <w:t>the</w:t>
      </w:r>
      <w:r>
        <w:t xml:space="preserve"> </w:t>
      </w:r>
      <w:r w:rsidR="00D15E01">
        <w:t>Council</w:t>
      </w:r>
      <w:r>
        <w:t xml:space="preserve"> </w:t>
      </w:r>
      <w:r w:rsidR="00D15E01">
        <w:t>appoint</w:t>
      </w:r>
      <w:r>
        <w:t xml:space="preserve"> </w:t>
      </w:r>
      <w:r w:rsidR="00D15E01">
        <w:t>a</w:t>
      </w:r>
      <w:r>
        <w:t xml:space="preserve"> </w:t>
      </w:r>
      <w:r w:rsidR="00D15E01">
        <w:t>working</w:t>
      </w:r>
      <w:r>
        <w:t xml:space="preserve"> </w:t>
      </w:r>
      <w:r w:rsidR="00D15E01">
        <w:t>group</w:t>
      </w:r>
      <w:r>
        <w:t xml:space="preserve"> </w:t>
      </w:r>
      <w:r w:rsidR="00D15E01">
        <w:t>to</w:t>
      </w:r>
      <w:r>
        <w:t xml:space="preserve"> </w:t>
      </w:r>
      <w:r w:rsidR="00D15E01">
        <w:t>develop</w:t>
      </w:r>
      <w:r>
        <w:t xml:space="preserve"> </w:t>
      </w:r>
      <w:r w:rsidR="00D15E01">
        <w:t>a</w:t>
      </w:r>
      <w:r>
        <w:t xml:space="preserve"> </w:t>
      </w:r>
      <w:r w:rsidR="00D15E01">
        <w:t>consensus</w:t>
      </w:r>
      <w:r>
        <w:t xml:space="preserve"> </w:t>
      </w:r>
      <w:r w:rsidR="00D15E01">
        <w:t>proposal</w:t>
      </w:r>
      <w:r>
        <w:t xml:space="preserve"> </w:t>
      </w:r>
      <w:r w:rsidR="00D15E01">
        <w:t>to</w:t>
      </w:r>
      <w:r>
        <w:t xml:space="preserve"> </w:t>
      </w:r>
      <w:r w:rsidR="00D15E01">
        <w:t>move</w:t>
      </w:r>
      <w:r>
        <w:t xml:space="preserve"> </w:t>
      </w:r>
      <w:r w:rsidR="00D15E01">
        <w:t>forward</w:t>
      </w:r>
      <w:r>
        <w:t xml:space="preserve"> </w:t>
      </w:r>
      <w:r w:rsidR="00D15E01">
        <w:t>with</w:t>
      </w:r>
      <w:r>
        <w:t xml:space="preserve"> </w:t>
      </w:r>
      <w:r w:rsidR="00D15E01">
        <w:t>a</w:t>
      </w:r>
      <w:r>
        <w:t xml:space="preserve"> </w:t>
      </w:r>
      <w:r w:rsidR="00D15E01">
        <w:t>new</w:t>
      </w:r>
      <w:r>
        <w:t xml:space="preserve"> </w:t>
      </w:r>
      <w:r w:rsidR="00D15E01">
        <w:t>customer</w:t>
      </w:r>
      <w:r>
        <w:t xml:space="preserve"> </w:t>
      </w:r>
      <w:r w:rsidR="00D15E01">
        <w:t>rate</w:t>
      </w:r>
      <w:r>
        <w:t xml:space="preserve"> </w:t>
      </w:r>
      <w:r w:rsidR="00D15E01">
        <w:t>design</w:t>
      </w:r>
      <w:r>
        <w:t xml:space="preserve"> </w:t>
      </w:r>
      <w:r w:rsidR="00D15E01">
        <w:t>proposal,</w:t>
      </w:r>
      <w:r>
        <w:t xml:space="preserve"> </w:t>
      </w:r>
      <w:r w:rsidR="00D15E01">
        <w:t>for</w:t>
      </w:r>
      <w:r>
        <w:t xml:space="preserve"> </w:t>
      </w:r>
      <w:r w:rsidR="00445F74">
        <w:t xml:space="preserve">all </w:t>
      </w:r>
      <w:r w:rsidR="00F006E7">
        <w:t>customers:</w:t>
      </w:r>
      <w:r>
        <w:t xml:space="preserve"> </w:t>
      </w:r>
      <w:r w:rsidR="00F006E7">
        <w:t>including</w:t>
      </w:r>
      <w:r>
        <w:t xml:space="preserve"> </w:t>
      </w:r>
      <w:r w:rsidR="00D15E01">
        <w:t>residential,</w:t>
      </w:r>
      <w:r>
        <w:t xml:space="preserve"> </w:t>
      </w:r>
      <w:r w:rsidR="00D15E01">
        <w:t>commercial</w:t>
      </w:r>
      <w:r w:rsidR="00F006E7">
        <w:t>,</w:t>
      </w:r>
      <w:r>
        <w:t xml:space="preserve"> </w:t>
      </w:r>
      <w:r w:rsidR="00F006E7">
        <w:t>municipal,</w:t>
      </w:r>
      <w:r>
        <w:t xml:space="preserve"> </w:t>
      </w:r>
      <w:r w:rsidR="00F006E7">
        <w:t>water</w:t>
      </w:r>
      <w:r>
        <w:t xml:space="preserve"> </w:t>
      </w:r>
      <w:r w:rsidR="00F006E7">
        <w:t>utility</w:t>
      </w:r>
      <w:r>
        <w:t xml:space="preserve"> </w:t>
      </w:r>
      <w:r w:rsidR="00D15E01">
        <w:t>and</w:t>
      </w:r>
      <w:r>
        <w:t xml:space="preserve"> </w:t>
      </w:r>
      <w:r w:rsidR="00D15E01">
        <w:t>industrial,</w:t>
      </w:r>
      <w:r>
        <w:t xml:space="preserve"> </w:t>
      </w:r>
      <w:r w:rsidR="00D15E01">
        <w:t>designed</w:t>
      </w:r>
      <w:r>
        <w:t xml:space="preserve"> </w:t>
      </w:r>
      <w:r w:rsidR="00D15E01">
        <w:t>to</w:t>
      </w:r>
      <w:r>
        <w:t xml:space="preserve"> </w:t>
      </w:r>
      <w:r w:rsidR="00D15E01">
        <w:t>incentivize</w:t>
      </w:r>
      <w:r>
        <w:t xml:space="preserve"> </w:t>
      </w:r>
      <w:r w:rsidR="00D15E01">
        <w:t>customers</w:t>
      </w:r>
      <w:r>
        <w:t xml:space="preserve"> </w:t>
      </w:r>
      <w:r w:rsidR="00D15E01">
        <w:t>to</w:t>
      </w:r>
      <w:r>
        <w:t xml:space="preserve"> </w:t>
      </w:r>
      <w:r w:rsidR="00D15E01">
        <w:t>purchase,</w:t>
      </w:r>
      <w:r>
        <w:t xml:space="preserve"> </w:t>
      </w:r>
      <w:r w:rsidR="00D15E01">
        <w:t>use,</w:t>
      </w:r>
      <w:r>
        <w:t xml:space="preserve"> </w:t>
      </w:r>
      <w:r w:rsidR="00D15E01">
        <w:t>and</w:t>
      </w:r>
      <w:r>
        <w:t xml:space="preserve"> </w:t>
      </w:r>
      <w:r w:rsidR="00D15E01">
        <w:t>store</w:t>
      </w:r>
      <w:r>
        <w:t xml:space="preserve"> </w:t>
      </w:r>
      <w:r w:rsidR="00D15E01">
        <w:t>energy</w:t>
      </w:r>
      <w:r>
        <w:t xml:space="preserve"> </w:t>
      </w:r>
      <w:r w:rsidR="00D15E01">
        <w:t>when</w:t>
      </w:r>
      <w:r>
        <w:t xml:space="preserve"> </w:t>
      </w:r>
      <w:r w:rsidR="00D15E01">
        <w:t>wholesale</w:t>
      </w:r>
      <w:r>
        <w:t xml:space="preserve"> </w:t>
      </w:r>
      <w:r w:rsidR="00D15E01">
        <w:t>prices</w:t>
      </w:r>
      <w:r>
        <w:t xml:space="preserve"> </w:t>
      </w:r>
      <w:r w:rsidR="00D15E01">
        <w:t>on</w:t>
      </w:r>
      <w:r>
        <w:t xml:space="preserve"> </w:t>
      </w:r>
      <w:r w:rsidR="00D15E01">
        <w:t>the</w:t>
      </w:r>
      <w:r>
        <w:t xml:space="preserve"> </w:t>
      </w:r>
      <w:r w:rsidR="00D15E01">
        <w:t>MISO</w:t>
      </w:r>
      <w:r>
        <w:t xml:space="preserve"> </w:t>
      </w:r>
      <w:r w:rsidR="00D15E01">
        <w:t>grid</w:t>
      </w:r>
      <w:r>
        <w:t xml:space="preserve"> </w:t>
      </w:r>
      <w:r w:rsidR="00D15E01">
        <w:t>are</w:t>
      </w:r>
      <w:r>
        <w:t xml:space="preserve"> </w:t>
      </w:r>
      <w:r w:rsidR="00D15E01">
        <w:t>low,</w:t>
      </w:r>
      <w:r>
        <w:t xml:space="preserve"> </w:t>
      </w:r>
      <w:r w:rsidR="00D15E01">
        <w:t>and</w:t>
      </w:r>
      <w:r>
        <w:t xml:space="preserve"> </w:t>
      </w:r>
      <w:r w:rsidR="00D15E01">
        <w:t>then</w:t>
      </w:r>
      <w:r>
        <w:t xml:space="preserve"> </w:t>
      </w:r>
      <w:r w:rsidR="00D15E01">
        <w:t>send</w:t>
      </w:r>
      <w:r>
        <w:t xml:space="preserve"> </w:t>
      </w:r>
      <w:r w:rsidR="00D15E01">
        <w:t>power</w:t>
      </w:r>
      <w:r>
        <w:t xml:space="preserve"> </w:t>
      </w:r>
      <w:r w:rsidR="00D15E01">
        <w:t>to</w:t>
      </w:r>
      <w:r>
        <w:t xml:space="preserve"> </w:t>
      </w:r>
      <w:r w:rsidR="00D15E01">
        <w:t>the</w:t>
      </w:r>
      <w:r>
        <w:t xml:space="preserve"> </w:t>
      </w:r>
      <w:r w:rsidR="00D15E01">
        <w:t>grid</w:t>
      </w:r>
      <w:r>
        <w:t xml:space="preserve"> </w:t>
      </w:r>
      <w:r w:rsidR="00D15E01">
        <w:t>when</w:t>
      </w:r>
      <w:r>
        <w:t xml:space="preserve"> </w:t>
      </w:r>
      <w:r w:rsidR="00D15E01">
        <w:t>utility</w:t>
      </w:r>
      <w:r>
        <w:t xml:space="preserve"> </w:t>
      </w:r>
      <w:r w:rsidR="00D15E01">
        <w:t>demand</w:t>
      </w:r>
      <w:r>
        <w:t xml:space="preserve"> </w:t>
      </w:r>
      <w:r w:rsidR="00D15E01">
        <w:t>is</w:t>
      </w:r>
      <w:r>
        <w:t xml:space="preserve"> </w:t>
      </w:r>
      <w:r w:rsidR="00D15E01">
        <w:t>greatest</w:t>
      </w:r>
      <w:r>
        <w:t xml:space="preserve"> </w:t>
      </w:r>
      <w:r w:rsidR="00D15E01">
        <w:t>and</w:t>
      </w:r>
      <w:r>
        <w:t xml:space="preserve"> </w:t>
      </w:r>
      <w:r w:rsidR="00D15E01">
        <w:t>prices</w:t>
      </w:r>
      <w:r>
        <w:t xml:space="preserve"> </w:t>
      </w:r>
      <w:r w:rsidR="00D15E01">
        <w:t>are</w:t>
      </w:r>
      <w:r>
        <w:t xml:space="preserve"> </w:t>
      </w:r>
      <w:r w:rsidR="00D15E01">
        <w:t>high.</w:t>
      </w:r>
      <w:r>
        <w:t xml:space="preserve"> </w:t>
      </w:r>
      <w:r w:rsidR="00D15E01">
        <w:t>The</w:t>
      </w:r>
      <w:r>
        <w:t xml:space="preserve"> </w:t>
      </w:r>
      <w:r w:rsidR="00D15E01">
        <w:t>working</w:t>
      </w:r>
      <w:r>
        <w:t xml:space="preserve"> </w:t>
      </w:r>
      <w:r w:rsidR="00D15E01">
        <w:t>group</w:t>
      </w:r>
      <w:r>
        <w:t xml:space="preserve"> </w:t>
      </w:r>
      <w:r w:rsidR="00D15E01">
        <w:t>should</w:t>
      </w:r>
      <w:r>
        <w:t xml:space="preserve"> </w:t>
      </w:r>
      <w:r w:rsidR="00D15E01">
        <w:t>include</w:t>
      </w:r>
      <w:r>
        <w:t xml:space="preserve"> </w:t>
      </w:r>
      <w:r w:rsidR="00D15E01">
        <w:t>key</w:t>
      </w:r>
      <w:r>
        <w:t xml:space="preserve"> </w:t>
      </w:r>
      <w:r w:rsidR="00D15E01">
        <w:t>stakeholders,</w:t>
      </w:r>
      <w:r>
        <w:t xml:space="preserve"> </w:t>
      </w:r>
      <w:r w:rsidR="00D15E01">
        <w:t>including</w:t>
      </w:r>
      <w:r>
        <w:t xml:space="preserve"> </w:t>
      </w:r>
      <w:r w:rsidR="00D15E01">
        <w:t>ENO,</w:t>
      </w:r>
      <w:r>
        <w:t xml:space="preserve"> </w:t>
      </w:r>
      <w:r w:rsidR="00D15E01">
        <w:t>the</w:t>
      </w:r>
      <w:r>
        <w:t xml:space="preserve"> </w:t>
      </w:r>
      <w:r w:rsidR="00D15E01">
        <w:t>City’s</w:t>
      </w:r>
      <w:r>
        <w:t xml:space="preserve"> </w:t>
      </w:r>
      <w:r w:rsidR="00D15E01">
        <w:t>utility</w:t>
      </w:r>
      <w:r>
        <w:t xml:space="preserve"> </w:t>
      </w:r>
      <w:r w:rsidR="00D15E01">
        <w:t>advisors,</w:t>
      </w:r>
      <w:r>
        <w:t xml:space="preserve"> </w:t>
      </w:r>
      <w:r w:rsidR="00D15E01">
        <w:t>residential,</w:t>
      </w:r>
      <w:r>
        <w:t xml:space="preserve"> </w:t>
      </w:r>
      <w:r w:rsidR="00D15E01">
        <w:t>commercial</w:t>
      </w:r>
      <w:r w:rsidR="00F006E7">
        <w:t>,</w:t>
      </w:r>
      <w:r>
        <w:t xml:space="preserve"> </w:t>
      </w:r>
      <w:r w:rsidR="00F006E7">
        <w:t>municipal,</w:t>
      </w:r>
      <w:r>
        <w:t xml:space="preserve"> </w:t>
      </w:r>
      <w:r w:rsidR="00F006E7">
        <w:t>water</w:t>
      </w:r>
      <w:r>
        <w:t xml:space="preserve"> </w:t>
      </w:r>
      <w:r w:rsidR="00F006E7">
        <w:t>utility</w:t>
      </w:r>
      <w:r>
        <w:t xml:space="preserve"> </w:t>
      </w:r>
      <w:r w:rsidR="00F006E7">
        <w:t>and</w:t>
      </w:r>
      <w:r>
        <w:t xml:space="preserve"> </w:t>
      </w:r>
      <w:r w:rsidR="00D15E01">
        <w:t>industrial</w:t>
      </w:r>
      <w:r>
        <w:t xml:space="preserve"> </w:t>
      </w:r>
      <w:r w:rsidR="00D15E01">
        <w:t>customers,</w:t>
      </w:r>
      <w:r>
        <w:t xml:space="preserve"> </w:t>
      </w:r>
      <w:r w:rsidR="00D15E01">
        <w:t>environmental</w:t>
      </w:r>
      <w:r>
        <w:t xml:space="preserve"> </w:t>
      </w:r>
      <w:r w:rsidR="00D15E01">
        <w:t>justice</w:t>
      </w:r>
      <w:r>
        <w:t xml:space="preserve"> </w:t>
      </w:r>
      <w:r w:rsidR="00D15E01">
        <w:t>and</w:t>
      </w:r>
      <w:r>
        <w:t xml:space="preserve"> </w:t>
      </w:r>
      <w:r w:rsidR="00D15E01">
        <w:t>conservation</w:t>
      </w:r>
      <w:r>
        <w:t xml:space="preserve"> </w:t>
      </w:r>
      <w:r w:rsidR="00D15E01">
        <w:t>communities,</w:t>
      </w:r>
      <w:r>
        <w:t xml:space="preserve"> </w:t>
      </w:r>
      <w:r w:rsidR="00D15E01">
        <w:t>and</w:t>
      </w:r>
      <w:r>
        <w:t xml:space="preserve"> </w:t>
      </w:r>
      <w:r w:rsidR="00D15E01">
        <w:t>some</w:t>
      </w:r>
      <w:r>
        <w:t xml:space="preserve"> </w:t>
      </w:r>
      <w:r w:rsidR="00D15E01">
        <w:t>nationally</w:t>
      </w:r>
      <w:r>
        <w:t xml:space="preserve"> </w:t>
      </w:r>
      <w:r w:rsidR="00D15E01">
        <w:t>recognized</w:t>
      </w:r>
      <w:r>
        <w:t xml:space="preserve"> </w:t>
      </w:r>
      <w:r w:rsidR="00D15E01">
        <w:t>experts</w:t>
      </w:r>
      <w:r>
        <w:t xml:space="preserve"> </w:t>
      </w:r>
      <w:r w:rsidR="00D15E01">
        <w:t>on</w:t>
      </w:r>
      <w:r>
        <w:t xml:space="preserve"> </w:t>
      </w:r>
      <w:r w:rsidR="00D15E01">
        <w:t>load</w:t>
      </w:r>
      <w:r>
        <w:t xml:space="preserve"> </w:t>
      </w:r>
      <w:r w:rsidR="00D15E01">
        <w:t>flexibility,</w:t>
      </w:r>
      <w:r>
        <w:t xml:space="preserve"> </w:t>
      </w:r>
      <w:r w:rsidR="00D15E01">
        <w:t>and</w:t>
      </w:r>
      <w:r>
        <w:t xml:space="preserve"> </w:t>
      </w:r>
      <w:r w:rsidR="00F006E7">
        <w:t>TOU</w:t>
      </w:r>
      <w:r>
        <w:t xml:space="preserve"> </w:t>
      </w:r>
      <w:r w:rsidR="00D15E01">
        <w:t>rates.</w:t>
      </w:r>
      <w:r>
        <w:t xml:space="preserve"> </w:t>
      </w:r>
      <w:r w:rsidR="00D15E01">
        <w:t>In</w:t>
      </w:r>
      <w:r>
        <w:t xml:space="preserve"> </w:t>
      </w:r>
      <w:r w:rsidR="00D15E01">
        <w:t>addition,</w:t>
      </w:r>
      <w:r>
        <w:t xml:space="preserve"> </w:t>
      </w:r>
      <w:r w:rsidR="00D15E01">
        <w:t>the</w:t>
      </w:r>
      <w:r>
        <w:t xml:space="preserve"> </w:t>
      </w:r>
      <w:r w:rsidR="00D15E01">
        <w:t>Council</w:t>
      </w:r>
      <w:r>
        <w:t xml:space="preserve"> </w:t>
      </w:r>
      <w:r w:rsidR="00D15E01">
        <w:t>should</w:t>
      </w:r>
      <w:r>
        <w:t xml:space="preserve"> </w:t>
      </w:r>
      <w:r w:rsidR="00D15E01">
        <w:t>retain</w:t>
      </w:r>
      <w:r>
        <w:t xml:space="preserve"> </w:t>
      </w:r>
      <w:r w:rsidR="00D15E01">
        <w:t>an</w:t>
      </w:r>
      <w:r>
        <w:t xml:space="preserve"> </w:t>
      </w:r>
      <w:r w:rsidR="00D15E01">
        <w:t>independent</w:t>
      </w:r>
      <w:r>
        <w:t xml:space="preserve"> </w:t>
      </w:r>
      <w:r w:rsidR="00D15E01">
        <w:t>consultant</w:t>
      </w:r>
      <w:r>
        <w:t xml:space="preserve"> </w:t>
      </w:r>
      <w:r w:rsidR="00D15E01">
        <w:t>to</w:t>
      </w:r>
      <w:r>
        <w:t xml:space="preserve"> </w:t>
      </w:r>
      <w:r w:rsidR="00D15E01">
        <w:t>provide</w:t>
      </w:r>
      <w:r>
        <w:t xml:space="preserve"> </w:t>
      </w:r>
      <w:r w:rsidR="00D15E01">
        <w:t>technical</w:t>
      </w:r>
      <w:r>
        <w:t xml:space="preserve"> </w:t>
      </w:r>
      <w:r w:rsidR="00D15E01">
        <w:t>support</w:t>
      </w:r>
      <w:r>
        <w:t xml:space="preserve"> </w:t>
      </w:r>
      <w:r w:rsidR="00D15E01">
        <w:t>and</w:t>
      </w:r>
      <w:r>
        <w:t xml:space="preserve"> </w:t>
      </w:r>
      <w:r w:rsidR="00D15E01">
        <w:t>expertise</w:t>
      </w:r>
      <w:r>
        <w:t xml:space="preserve"> </w:t>
      </w:r>
      <w:r w:rsidR="00D15E01">
        <w:t>to</w:t>
      </w:r>
      <w:r>
        <w:t xml:space="preserve"> </w:t>
      </w:r>
      <w:r w:rsidR="00D15E01">
        <w:t>the</w:t>
      </w:r>
      <w:r>
        <w:t xml:space="preserve"> </w:t>
      </w:r>
      <w:r w:rsidR="00D15E01">
        <w:t>working</w:t>
      </w:r>
      <w:r>
        <w:t xml:space="preserve"> </w:t>
      </w:r>
      <w:r w:rsidR="00D15E01">
        <w:t>group,</w:t>
      </w:r>
      <w:r>
        <w:t xml:space="preserve"> </w:t>
      </w:r>
      <w:r w:rsidR="00D15E01">
        <w:t>such</w:t>
      </w:r>
      <w:r>
        <w:t xml:space="preserve"> </w:t>
      </w:r>
      <w:r w:rsidR="00D15E01">
        <w:t>as</w:t>
      </w:r>
      <w:r>
        <w:t xml:space="preserve"> </w:t>
      </w:r>
      <w:r w:rsidR="00D15E01">
        <w:t>the</w:t>
      </w:r>
      <w:r>
        <w:t xml:space="preserve"> </w:t>
      </w:r>
      <w:r w:rsidR="00D15E01">
        <w:t>Brattle</w:t>
      </w:r>
      <w:r>
        <w:t xml:space="preserve"> </w:t>
      </w:r>
      <w:r w:rsidR="00D15E01">
        <w:t>Group.</w:t>
      </w:r>
    </w:p>
    <w:p w14:paraId="56FE52CE" w14:textId="38EC7D31" w:rsidR="002514B0" w:rsidRDefault="00D15E01" w:rsidP="002514B0">
      <w:pPr>
        <w:pStyle w:val="BodyText"/>
      </w:pPr>
      <w:r>
        <w:t>We</w:t>
      </w:r>
      <w:r w:rsidR="002514B0">
        <w:t xml:space="preserve"> </w:t>
      </w:r>
      <w:r>
        <w:t>believe</w:t>
      </w:r>
      <w:r w:rsidR="002514B0">
        <w:t xml:space="preserve"> </w:t>
      </w:r>
      <w:r>
        <w:t>the</w:t>
      </w:r>
      <w:r w:rsidR="002514B0">
        <w:t xml:space="preserve"> </w:t>
      </w:r>
      <w:r w:rsidRPr="00F006E7">
        <w:rPr>
          <w:b/>
          <w:bCs/>
          <w:i/>
          <w:iCs/>
        </w:rPr>
        <w:t>Load</w:t>
      </w:r>
      <w:r w:rsidR="002514B0">
        <w:rPr>
          <w:b/>
          <w:bCs/>
          <w:i/>
          <w:iCs/>
        </w:rPr>
        <w:t xml:space="preserve"> </w:t>
      </w:r>
      <w:r w:rsidRPr="00F006E7">
        <w:rPr>
          <w:b/>
          <w:bCs/>
          <w:i/>
          <w:iCs/>
        </w:rPr>
        <w:t>Flexibility</w:t>
      </w:r>
      <w:r w:rsidR="002514B0">
        <w:rPr>
          <w:b/>
          <w:bCs/>
          <w:i/>
          <w:iCs/>
        </w:rPr>
        <w:t xml:space="preserve"> </w:t>
      </w:r>
      <w:r w:rsidRPr="00F006E7">
        <w:rPr>
          <w:b/>
          <w:bCs/>
          <w:i/>
          <w:iCs/>
        </w:rPr>
        <w:t>and</w:t>
      </w:r>
      <w:r w:rsidR="002514B0">
        <w:rPr>
          <w:b/>
          <w:bCs/>
          <w:i/>
          <w:iCs/>
        </w:rPr>
        <w:t xml:space="preserve"> </w:t>
      </w:r>
      <w:r w:rsidRPr="00F006E7">
        <w:rPr>
          <w:b/>
          <w:bCs/>
          <w:i/>
          <w:iCs/>
        </w:rPr>
        <w:t>Time-of-Use</w:t>
      </w:r>
      <w:r w:rsidR="002514B0">
        <w:rPr>
          <w:b/>
          <w:bCs/>
          <w:i/>
          <w:iCs/>
        </w:rPr>
        <w:t xml:space="preserve"> </w:t>
      </w:r>
      <w:r w:rsidRPr="00F006E7">
        <w:rPr>
          <w:b/>
          <w:bCs/>
          <w:i/>
          <w:iCs/>
        </w:rPr>
        <w:t>Rate</w:t>
      </w:r>
      <w:r w:rsidR="002514B0">
        <w:rPr>
          <w:b/>
          <w:bCs/>
          <w:i/>
          <w:iCs/>
        </w:rPr>
        <w:t xml:space="preserve"> </w:t>
      </w:r>
      <w:r w:rsidRPr="00F006E7">
        <w:rPr>
          <w:b/>
          <w:bCs/>
          <w:i/>
          <w:iCs/>
        </w:rPr>
        <w:t>Design</w:t>
      </w:r>
      <w:r w:rsidR="002514B0">
        <w:rPr>
          <w:b/>
          <w:bCs/>
          <w:i/>
          <w:iCs/>
        </w:rPr>
        <w:t xml:space="preserve"> </w:t>
      </w:r>
      <w:r w:rsidRPr="00F006E7">
        <w:rPr>
          <w:b/>
          <w:bCs/>
          <w:i/>
          <w:iCs/>
        </w:rPr>
        <w:t>Working</w:t>
      </w:r>
      <w:r w:rsidR="002514B0">
        <w:rPr>
          <w:b/>
          <w:bCs/>
          <w:i/>
          <w:iCs/>
        </w:rPr>
        <w:t xml:space="preserve"> </w:t>
      </w:r>
      <w:r w:rsidRPr="00F006E7">
        <w:rPr>
          <w:b/>
          <w:bCs/>
          <w:i/>
          <w:iCs/>
        </w:rPr>
        <w:t>Group</w:t>
      </w:r>
      <w:r w:rsidR="002514B0">
        <w:t xml:space="preserve"> </w:t>
      </w:r>
      <w:r>
        <w:t>should</w:t>
      </w:r>
      <w:r w:rsidR="002514B0">
        <w:t xml:space="preserve"> </w:t>
      </w:r>
      <w:r>
        <w:t>be</w:t>
      </w:r>
      <w:r w:rsidR="002514B0">
        <w:t xml:space="preserve"> </w:t>
      </w:r>
      <w:r>
        <w:t>tasked</w:t>
      </w:r>
      <w:r w:rsidR="002514B0">
        <w:t xml:space="preserve"> </w:t>
      </w:r>
      <w:r>
        <w:t>with</w:t>
      </w:r>
      <w:r w:rsidR="002514B0">
        <w:t xml:space="preserve"> </w:t>
      </w:r>
      <w:r>
        <w:t>developing</w:t>
      </w:r>
      <w:r w:rsidR="002514B0">
        <w:t xml:space="preserve"> </w:t>
      </w:r>
      <w:r>
        <w:t>a</w:t>
      </w:r>
      <w:r w:rsidR="002514B0">
        <w:t xml:space="preserve"> </w:t>
      </w:r>
      <w:r>
        <w:t>detailed</w:t>
      </w:r>
      <w:r w:rsidR="002514B0">
        <w:t xml:space="preserve"> </w:t>
      </w:r>
      <w:r>
        <w:t>set</w:t>
      </w:r>
      <w:r w:rsidR="002514B0">
        <w:t xml:space="preserve"> </w:t>
      </w:r>
      <w:r>
        <w:t>of</w:t>
      </w:r>
      <w:r w:rsidR="002514B0">
        <w:t xml:space="preserve"> </w:t>
      </w:r>
      <w:r>
        <w:t>recommendations</w:t>
      </w:r>
      <w:r w:rsidR="002514B0">
        <w:t xml:space="preserve"> </w:t>
      </w:r>
      <w:r>
        <w:t>and</w:t>
      </w:r>
      <w:r w:rsidR="002514B0">
        <w:t xml:space="preserve"> </w:t>
      </w:r>
      <w:r>
        <w:t>proposals</w:t>
      </w:r>
      <w:r w:rsidR="002514B0">
        <w:t xml:space="preserve"> </w:t>
      </w:r>
      <w:r>
        <w:t>for</w:t>
      </w:r>
      <w:r w:rsidR="002514B0">
        <w:t xml:space="preserve"> </w:t>
      </w:r>
      <w:r>
        <w:t>how</w:t>
      </w:r>
      <w:r w:rsidR="002514B0">
        <w:t xml:space="preserve"> </w:t>
      </w:r>
      <w:r>
        <w:t>to</w:t>
      </w:r>
      <w:r w:rsidR="002514B0">
        <w:t xml:space="preserve"> </w:t>
      </w:r>
      <w:r>
        <w:t>proceed</w:t>
      </w:r>
      <w:r w:rsidR="002514B0">
        <w:t xml:space="preserve"> </w:t>
      </w:r>
      <w:r>
        <w:t>with</w:t>
      </w:r>
      <w:r w:rsidR="002514B0">
        <w:t xml:space="preserve"> </w:t>
      </w:r>
      <w:r>
        <w:t>implementing</w:t>
      </w:r>
      <w:r w:rsidR="002514B0">
        <w:t xml:space="preserve"> </w:t>
      </w:r>
      <w:r>
        <w:t>CLEP,</w:t>
      </w:r>
      <w:r w:rsidR="002514B0">
        <w:t xml:space="preserve"> </w:t>
      </w:r>
      <w:r>
        <w:t>and</w:t>
      </w:r>
      <w:r w:rsidR="002514B0">
        <w:t xml:space="preserve"> </w:t>
      </w:r>
      <w:r>
        <w:t>report</w:t>
      </w:r>
      <w:r w:rsidR="002514B0">
        <w:t xml:space="preserve"> </w:t>
      </w:r>
      <w:r>
        <w:t>back</w:t>
      </w:r>
      <w:r w:rsidR="002514B0">
        <w:t xml:space="preserve"> </w:t>
      </w:r>
      <w:r>
        <w:t>to</w:t>
      </w:r>
      <w:r w:rsidR="002514B0">
        <w:t xml:space="preserve"> </w:t>
      </w:r>
      <w:r>
        <w:t>the</w:t>
      </w:r>
      <w:r w:rsidR="002514B0">
        <w:t xml:space="preserve"> </w:t>
      </w:r>
      <w:r>
        <w:t>City</w:t>
      </w:r>
      <w:r w:rsidR="002514B0">
        <w:t xml:space="preserve"> </w:t>
      </w:r>
      <w:r>
        <w:t>Council</w:t>
      </w:r>
      <w:r w:rsidR="002514B0">
        <w:t xml:space="preserve"> </w:t>
      </w:r>
      <w:r>
        <w:t>within</w:t>
      </w:r>
      <w:r w:rsidR="002514B0">
        <w:t xml:space="preserve"> </w:t>
      </w:r>
      <w:r>
        <w:t>120</w:t>
      </w:r>
      <w:r w:rsidR="002514B0">
        <w:t xml:space="preserve"> </w:t>
      </w:r>
      <w:r>
        <w:t>days,</w:t>
      </w:r>
      <w:r w:rsidR="002514B0">
        <w:t xml:space="preserve"> </w:t>
      </w:r>
      <w:r>
        <w:t>with</w:t>
      </w:r>
      <w:r w:rsidR="002514B0">
        <w:t xml:space="preserve"> </w:t>
      </w:r>
      <w:r>
        <w:t>the</w:t>
      </w:r>
      <w:r w:rsidR="002514B0">
        <w:t xml:space="preserve"> </w:t>
      </w:r>
      <w:r>
        <w:t>goal</w:t>
      </w:r>
      <w:r w:rsidR="002514B0">
        <w:t xml:space="preserve"> </w:t>
      </w:r>
      <w:r>
        <w:t>of</w:t>
      </w:r>
      <w:r w:rsidR="002514B0">
        <w:t xml:space="preserve"> </w:t>
      </w:r>
      <w:r>
        <w:t>launching</w:t>
      </w:r>
      <w:r w:rsidR="002514B0">
        <w:t xml:space="preserve"> </w:t>
      </w:r>
      <w:r>
        <w:t>CLEP</w:t>
      </w:r>
      <w:r w:rsidR="002514B0">
        <w:t xml:space="preserve"> </w:t>
      </w:r>
      <w:r>
        <w:t>within</w:t>
      </w:r>
      <w:r w:rsidR="002514B0">
        <w:t xml:space="preserve"> </w:t>
      </w:r>
      <w:r>
        <w:t>the</w:t>
      </w:r>
      <w:r w:rsidR="002514B0">
        <w:t xml:space="preserve"> </w:t>
      </w:r>
      <w:r>
        <w:t>next</w:t>
      </w:r>
      <w:r w:rsidR="002514B0">
        <w:t xml:space="preserve"> </w:t>
      </w:r>
      <w:r>
        <w:t>6</w:t>
      </w:r>
      <w:r w:rsidR="002514B0">
        <w:t xml:space="preserve"> </w:t>
      </w:r>
      <w:r>
        <w:t>months.</w:t>
      </w:r>
    </w:p>
    <w:p w14:paraId="043213B9" w14:textId="77777777" w:rsidR="004D0647" w:rsidRPr="003C7F6D" w:rsidRDefault="00EF030D" w:rsidP="004534FD">
      <w:pPr>
        <w:pStyle w:val="Heading1"/>
        <w:rPr>
          <w:b w:val="0"/>
          <w:sz w:val="24"/>
          <w:szCs w:val="24"/>
        </w:rPr>
      </w:pPr>
      <w:r w:rsidRPr="003C7F6D">
        <w:rPr>
          <w:w w:val="105"/>
          <w:sz w:val="24"/>
          <w:szCs w:val="24"/>
        </w:rPr>
        <w:br w:type="page"/>
      </w:r>
      <w:bookmarkStart w:id="16" w:name="_Toc16090407"/>
      <w:bookmarkStart w:id="17" w:name="_Toc16165395"/>
      <w:bookmarkStart w:id="18" w:name="_Toc16317722"/>
      <w:bookmarkStart w:id="19" w:name="_Toc16254886"/>
      <w:r w:rsidR="007974A5" w:rsidRPr="003C7F6D">
        <w:rPr>
          <w:w w:val="105"/>
          <w:sz w:val="24"/>
          <w:szCs w:val="24"/>
        </w:rPr>
        <w:lastRenderedPageBreak/>
        <w:t>DISCUSSION</w:t>
      </w:r>
      <w:bookmarkEnd w:id="16"/>
      <w:bookmarkEnd w:id="17"/>
      <w:bookmarkEnd w:id="18"/>
      <w:bookmarkEnd w:id="19"/>
    </w:p>
    <w:p w14:paraId="4B0EE5AE" w14:textId="7ACBEA7C" w:rsidR="008B55D7" w:rsidRPr="003C7F6D" w:rsidRDefault="009B1BC1" w:rsidP="0003376F">
      <w:pPr>
        <w:pStyle w:val="Heading2"/>
        <w:rPr>
          <w:rFonts w:eastAsia="Times New Roman"/>
          <w:szCs w:val="24"/>
        </w:rPr>
      </w:pPr>
      <w:bookmarkStart w:id="20" w:name="_Toc16090408"/>
      <w:bookmarkStart w:id="21" w:name="_Toc16165396"/>
      <w:bookmarkStart w:id="22" w:name="_Toc16317723"/>
      <w:bookmarkStart w:id="23" w:name="_Toc16254887"/>
      <w:bookmarkStart w:id="24" w:name="_Toc13642745"/>
      <w:r w:rsidRPr="003C7F6D">
        <w:t>CLEP</w:t>
      </w:r>
      <w:r w:rsidR="002514B0">
        <w:t xml:space="preserve"> </w:t>
      </w:r>
      <w:r w:rsidR="0077767B" w:rsidRPr="003C7F6D">
        <w:t>has</w:t>
      </w:r>
      <w:r w:rsidR="002514B0">
        <w:t xml:space="preserve"> </w:t>
      </w:r>
      <w:r w:rsidR="0077767B" w:rsidRPr="003C7F6D">
        <w:t>the</w:t>
      </w:r>
      <w:r w:rsidR="002514B0">
        <w:t xml:space="preserve"> </w:t>
      </w:r>
      <w:r w:rsidR="0077767B" w:rsidRPr="003C7F6D">
        <w:t>potential</w:t>
      </w:r>
      <w:r w:rsidR="002514B0">
        <w:t xml:space="preserve"> </w:t>
      </w:r>
      <w:r w:rsidR="0077767B" w:rsidRPr="003C7F6D">
        <w:t>to</w:t>
      </w:r>
      <w:r w:rsidR="002514B0">
        <w:t xml:space="preserve"> </w:t>
      </w:r>
      <w:r w:rsidR="00FA1C46" w:rsidRPr="003C7F6D">
        <w:t>more</w:t>
      </w:r>
      <w:r w:rsidR="002514B0">
        <w:t xml:space="preserve"> </w:t>
      </w:r>
      <w:r w:rsidR="00FA1C46" w:rsidRPr="003C7F6D">
        <w:t>effectively</w:t>
      </w:r>
      <w:r w:rsidR="002514B0">
        <w:t xml:space="preserve"> </w:t>
      </w:r>
      <w:r w:rsidR="00FA1C46" w:rsidRPr="003C7F6D">
        <w:t>implement</w:t>
      </w:r>
      <w:r w:rsidR="002514B0">
        <w:t xml:space="preserve"> </w:t>
      </w:r>
      <w:r w:rsidR="00FA1C46" w:rsidRPr="003C7F6D">
        <w:t>the</w:t>
      </w:r>
      <w:r w:rsidR="002514B0">
        <w:t xml:space="preserve"> </w:t>
      </w:r>
      <w:r w:rsidR="00FA1C46" w:rsidRPr="003C7F6D">
        <w:t>goals</w:t>
      </w:r>
      <w:r w:rsidR="002514B0">
        <w:t xml:space="preserve"> </w:t>
      </w:r>
      <w:r w:rsidR="00FA1C46" w:rsidRPr="003C7F6D">
        <w:t>of</w:t>
      </w:r>
      <w:r w:rsidR="002514B0">
        <w:t xml:space="preserve"> </w:t>
      </w:r>
      <w:r w:rsidR="00FA1C46" w:rsidRPr="003C7F6D">
        <w:t>5</w:t>
      </w:r>
      <w:r w:rsidR="00A94E56">
        <w:t>0</w:t>
      </w:r>
      <w:r w:rsidR="00FA1C46" w:rsidRPr="003C7F6D">
        <w:rPr>
          <w:vertAlign w:val="superscript"/>
        </w:rPr>
        <w:footnoteReference w:id="7"/>
      </w:r>
      <w:r w:rsidR="002514B0">
        <w:t xml:space="preserve"> </w:t>
      </w:r>
      <w:r w:rsidR="004424F8" w:rsidRPr="003C7F6D">
        <w:rPr>
          <w:rFonts w:eastAsia="Times New Roman"/>
          <w:szCs w:val="24"/>
        </w:rPr>
        <w:t>of</w:t>
      </w:r>
      <w:r w:rsidR="002514B0">
        <w:rPr>
          <w:rFonts w:eastAsia="Times New Roman"/>
          <w:szCs w:val="24"/>
        </w:rPr>
        <w:t xml:space="preserve"> </w:t>
      </w:r>
      <w:r w:rsidR="004424F8" w:rsidRPr="003C7F6D">
        <w:rPr>
          <w:rFonts w:eastAsia="Times New Roman"/>
          <w:szCs w:val="24"/>
        </w:rPr>
        <w:t>the</w:t>
      </w:r>
      <w:r w:rsidR="002514B0">
        <w:rPr>
          <w:rFonts w:eastAsia="Times New Roman"/>
          <w:szCs w:val="24"/>
        </w:rPr>
        <w:t xml:space="preserve"> </w:t>
      </w:r>
      <w:r w:rsidR="00FA1C46" w:rsidRPr="003C7F6D">
        <w:t>Council’s</w:t>
      </w:r>
      <w:r w:rsidR="002514B0">
        <w:t xml:space="preserve"> </w:t>
      </w:r>
      <w:r w:rsidR="00FA1C46" w:rsidRPr="003C7F6D">
        <w:t>resolutions</w:t>
      </w:r>
      <w:r w:rsidR="002514B0">
        <w:t xml:space="preserve"> </w:t>
      </w:r>
      <w:r w:rsidR="004424F8" w:rsidRPr="003C7F6D">
        <w:t>than</w:t>
      </w:r>
      <w:r w:rsidR="002514B0">
        <w:t xml:space="preserve"> </w:t>
      </w:r>
      <w:r w:rsidR="00FA1C46" w:rsidRPr="003C7F6D">
        <w:rPr>
          <w:w w:val="105"/>
          <w:szCs w:val="24"/>
        </w:rPr>
        <w:t>what</w:t>
      </w:r>
      <w:r w:rsidR="002514B0">
        <w:rPr>
          <w:w w:val="105"/>
          <w:szCs w:val="24"/>
        </w:rPr>
        <w:t xml:space="preserve"> </w:t>
      </w:r>
      <w:r w:rsidR="00FA1C46" w:rsidRPr="003C7F6D">
        <w:rPr>
          <w:w w:val="105"/>
          <w:szCs w:val="24"/>
        </w:rPr>
        <w:t>has</w:t>
      </w:r>
      <w:r w:rsidR="002514B0">
        <w:rPr>
          <w:w w:val="105"/>
          <w:szCs w:val="24"/>
        </w:rPr>
        <w:t xml:space="preserve"> </w:t>
      </w:r>
      <w:r w:rsidR="009103EE" w:rsidRPr="003C7F6D">
        <w:rPr>
          <w:w w:val="105"/>
          <w:szCs w:val="24"/>
        </w:rPr>
        <w:t>been</w:t>
      </w:r>
      <w:r w:rsidR="002514B0">
        <w:rPr>
          <w:w w:val="105"/>
          <w:szCs w:val="24"/>
        </w:rPr>
        <w:t xml:space="preserve"> </w:t>
      </w:r>
      <w:r w:rsidR="00FA1C46" w:rsidRPr="003C7F6D">
        <w:rPr>
          <w:w w:val="105"/>
          <w:szCs w:val="24"/>
        </w:rPr>
        <w:t>done</w:t>
      </w:r>
      <w:r w:rsidR="002514B0">
        <w:rPr>
          <w:w w:val="105"/>
          <w:szCs w:val="24"/>
        </w:rPr>
        <w:t xml:space="preserve"> </w:t>
      </w:r>
      <w:r w:rsidR="00010179" w:rsidRPr="003C7F6D">
        <w:t>by</w:t>
      </w:r>
      <w:r w:rsidR="002514B0">
        <w:t xml:space="preserve"> </w:t>
      </w:r>
      <w:r w:rsidR="004424F8" w:rsidRPr="003C7F6D">
        <w:rPr>
          <w:rFonts w:eastAsia="Times New Roman"/>
          <w:szCs w:val="24"/>
        </w:rPr>
        <w:t>any</w:t>
      </w:r>
      <w:r w:rsidR="002514B0">
        <w:rPr>
          <w:rFonts w:eastAsia="Times New Roman"/>
          <w:szCs w:val="24"/>
        </w:rPr>
        <w:t xml:space="preserve"> </w:t>
      </w:r>
      <w:r w:rsidR="004424F8" w:rsidRPr="003C7F6D">
        <w:t>other</w:t>
      </w:r>
      <w:r w:rsidR="002514B0">
        <w:t xml:space="preserve"> </w:t>
      </w:r>
      <w:r w:rsidR="004424F8" w:rsidRPr="003C7F6D">
        <w:t>means.</w:t>
      </w:r>
      <w:bookmarkEnd w:id="20"/>
      <w:bookmarkEnd w:id="21"/>
      <w:bookmarkEnd w:id="22"/>
      <w:bookmarkEnd w:id="23"/>
    </w:p>
    <w:p w14:paraId="000AC22A" w14:textId="31CBBF86" w:rsidR="00A9176C" w:rsidRDefault="00010179" w:rsidP="00A9176C">
      <w:pPr>
        <w:pStyle w:val="BodyText"/>
      </w:pPr>
      <w:r w:rsidRPr="003C7F6D">
        <w:rPr>
          <w:szCs w:val="24"/>
        </w:rPr>
        <w:t>For</w:t>
      </w:r>
      <w:r w:rsidR="002514B0">
        <w:rPr>
          <w:szCs w:val="24"/>
        </w:rPr>
        <w:t xml:space="preserve"> </w:t>
      </w:r>
      <w:r w:rsidRPr="003C7F6D">
        <w:rPr>
          <w:szCs w:val="24"/>
        </w:rPr>
        <w:t>example</w:t>
      </w:r>
      <w:bookmarkEnd w:id="24"/>
      <w:r w:rsidR="00A9176C">
        <w:rPr>
          <w:szCs w:val="24"/>
        </w:rPr>
        <w:t xml:space="preserve">, </w:t>
      </w:r>
      <w:r w:rsidR="000F4B9B" w:rsidRPr="003C7F6D">
        <w:rPr>
          <w:b/>
          <w:bCs/>
        </w:rPr>
        <w:t>Resolution</w:t>
      </w:r>
      <w:r w:rsidR="002514B0">
        <w:rPr>
          <w:b/>
          <w:bCs/>
        </w:rPr>
        <w:t xml:space="preserve"> </w:t>
      </w:r>
      <w:r w:rsidR="000F4B9B" w:rsidRPr="003C7F6D">
        <w:rPr>
          <w:b/>
          <w:bCs/>
        </w:rPr>
        <w:t>R-07-600</w:t>
      </w:r>
      <w:r w:rsidR="002514B0">
        <w:t xml:space="preserve"> </w:t>
      </w:r>
      <w:r w:rsidR="000F4B9B" w:rsidRPr="003C7F6D">
        <w:t>resolves</w:t>
      </w:r>
      <w:r w:rsidR="002514B0">
        <w:t xml:space="preserve"> </w:t>
      </w:r>
      <w:r w:rsidR="000F4B9B" w:rsidRPr="003C7F6D">
        <w:t>that,</w:t>
      </w:r>
      <w:r w:rsidR="002514B0">
        <w:t xml:space="preserve"> </w:t>
      </w:r>
      <w:r w:rsidR="000F4B9B" w:rsidRPr="003C7F6D">
        <w:t>“the</w:t>
      </w:r>
      <w:r w:rsidR="002514B0">
        <w:t xml:space="preserve"> </w:t>
      </w:r>
      <w:r w:rsidR="000F4B9B" w:rsidRPr="003C7F6D">
        <w:t>Council,</w:t>
      </w:r>
      <w:r w:rsidR="002514B0">
        <w:t xml:space="preserve"> </w:t>
      </w:r>
      <w:r w:rsidR="000F4B9B" w:rsidRPr="003C7F6D">
        <w:t>through</w:t>
      </w:r>
      <w:r w:rsidR="002514B0">
        <w:t xml:space="preserve"> </w:t>
      </w:r>
      <w:r w:rsidR="000F4B9B" w:rsidRPr="003C7F6D">
        <w:t>the</w:t>
      </w:r>
      <w:r w:rsidR="002514B0">
        <w:t xml:space="preserve"> </w:t>
      </w:r>
      <w:r w:rsidR="000F4B9B" w:rsidRPr="003C7F6D">
        <w:t>Utility</w:t>
      </w:r>
      <w:r w:rsidR="002514B0">
        <w:t xml:space="preserve"> </w:t>
      </w:r>
      <w:r w:rsidR="000F4B9B" w:rsidRPr="003C7F6D">
        <w:t>Committee,</w:t>
      </w:r>
      <w:r w:rsidR="002514B0">
        <w:t xml:space="preserve"> </w:t>
      </w:r>
      <w:r w:rsidR="009C64D2" w:rsidRPr="003C7F6D">
        <w:t>[will]</w:t>
      </w:r>
      <w:r w:rsidR="002514B0">
        <w:t xml:space="preserve"> </w:t>
      </w:r>
      <w:r w:rsidR="000F4B9B" w:rsidRPr="003C7F6D">
        <w:t>align</w:t>
      </w:r>
      <w:r w:rsidR="002514B0">
        <w:t xml:space="preserve"> </w:t>
      </w:r>
      <w:r w:rsidR="000F4B9B" w:rsidRPr="003C7F6D">
        <w:t>customer</w:t>
      </w:r>
      <w:r w:rsidR="002514B0">
        <w:t xml:space="preserve"> </w:t>
      </w:r>
      <w:r w:rsidR="000F4B9B" w:rsidRPr="003C7F6D">
        <w:t>pricing</w:t>
      </w:r>
      <w:r w:rsidR="002514B0">
        <w:t xml:space="preserve"> </w:t>
      </w:r>
      <w:r w:rsidR="000F4B9B" w:rsidRPr="003C7F6D">
        <w:t>and</w:t>
      </w:r>
      <w:r w:rsidR="002514B0">
        <w:t xml:space="preserve"> </w:t>
      </w:r>
      <w:r w:rsidR="000F4B9B" w:rsidRPr="003C7F6D">
        <w:t>incentives</w:t>
      </w:r>
      <w:r w:rsidR="002514B0">
        <w:t xml:space="preserve"> </w:t>
      </w:r>
      <w:r w:rsidR="000F4B9B" w:rsidRPr="003C7F6D">
        <w:t>to</w:t>
      </w:r>
      <w:r w:rsidR="002514B0">
        <w:t xml:space="preserve"> </w:t>
      </w:r>
      <w:r w:rsidR="000F4B9B" w:rsidRPr="003C7F6D">
        <w:t>encourage</w:t>
      </w:r>
      <w:r w:rsidR="002514B0">
        <w:t xml:space="preserve"> </w:t>
      </w:r>
      <w:r w:rsidR="000F4B9B" w:rsidRPr="003C7F6D">
        <w:t>investment</w:t>
      </w:r>
      <w:r w:rsidR="002514B0">
        <w:t xml:space="preserve"> </w:t>
      </w:r>
      <w:r w:rsidR="000F4B9B" w:rsidRPr="003C7F6D">
        <w:t>in</w:t>
      </w:r>
      <w:r w:rsidR="002514B0">
        <w:t xml:space="preserve"> </w:t>
      </w:r>
      <w:r w:rsidR="000F4B9B" w:rsidRPr="003C7F6D">
        <w:t>energy</w:t>
      </w:r>
      <w:r w:rsidR="002514B0">
        <w:t xml:space="preserve"> </w:t>
      </w:r>
      <w:r w:rsidR="000F4B9B" w:rsidRPr="003C7F6D">
        <w:t>efficiency”</w:t>
      </w:r>
      <w:r w:rsidR="00A9176C">
        <w:t>, i.e</w:t>
      </w:r>
      <w:r w:rsidR="00D7690A">
        <w:t>.</w:t>
      </w:r>
      <w:r w:rsidR="00A9176C">
        <w:t>,</w:t>
      </w:r>
      <w:r w:rsidR="00BA5528" w:rsidRPr="003C7F6D">
        <w:t>:</w:t>
      </w:r>
      <w:r w:rsidR="002514B0">
        <w:t xml:space="preserve"> </w:t>
      </w:r>
      <w:r w:rsidR="001056D4" w:rsidRPr="00A9176C">
        <w:rPr>
          <w:b/>
          <w:bCs/>
          <w:i/>
          <w:iCs/>
        </w:rPr>
        <w:t>U</w:t>
      </w:r>
      <w:r w:rsidR="00BA5528" w:rsidRPr="00A9176C">
        <w:rPr>
          <w:b/>
          <w:bCs/>
          <w:i/>
          <w:iCs/>
        </w:rPr>
        <w:t>se</w:t>
      </w:r>
      <w:r w:rsidR="002514B0" w:rsidRPr="00A9176C">
        <w:rPr>
          <w:b/>
          <w:bCs/>
          <w:i/>
          <w:iCs/>
        </w:rPr>
        <w:t xml:space="preserve"> </w:t>
      </w:r>
      <w:r w:rsidR="00BA5528" w:rsidRPr="00A9176C">
        <w:rPr>
          <w:b/>
          <w:bCs/>
          <w:i/>
          <w:iCs/>
        </w:rPr>
        <w:t>rate</w:t>
      </w:r>
      <w:r w:rsidR="002514B0" w:rsidRPr="00A9176C">
        <w:rPr>
          <w:b/>
          <w:bCs/>
          <w:i/>
          <w:iCs/>
        </w:rPr>
        <w:t xml:space="preserve"> </w:t>
      </w:r>
      <w:r w:rsidR="00BA5528" w:rsidRPr="00A9176C">
        <w:rPr>
          <w:b/>
          <w:bCs/>
          <w:i/>
          <w:iCs/>
        </w:rPr>
        <w:t>design</w:t>
      </w:r>
      <w:r w:rsidR="002514B0" w:rsidRPr="00A9176C">
        <w:rPr>
          <w:b/>
          <w:bCs/>
          <w:i/>
          <w:iCs/>
        </w:rPr>
        <w:t xml:space="preserve"> </w:t>
      </w:r>
      <w:r w:rsidR="00BA5528" w:rsidRPr="00A9176C">
        <w:rPr>
          <w:b/>
          <w:bCs/>
          <w:i/>
          <w:iCs/>
        </w:rPr>
        <w:t>to</w:t>
      </w:r>
      <w:r w:rsidR="002514B0" w:rsidRPr="00A9176C">
        <w:rPr>
          <w:b/>
          <w:bCs/>
          <w:i/>
          <w:iCs/>
        </w:rPr>
        <w:t xml:space="preserve"> </w:t>
      </w:r>
      <w:r w:rsidR="00BA5528" w:rsidRPr="00A9176C">
        <w:rPr>
          <w:b/>
          <w:bCs/>
          <w:i/>
          <w:iCs/>
        </w:rPr>
        <w:t>promote</w:t>
      </w:r>
      <w:r w:rsidR="002514B0" w:rsidRPr="00A9176C">
        <w:rPr>
          <w:b/>
          <w:bCs/>
          <w:i/>
          <w:iCs/>
        </w:rPr>
        <w:t xml:space="preserve"> </w:t>
      </w:r>
      <w:r w:rsidR="00BA5528" w:rsidRPr="00A9176C">
        <w:rPr>
          <w:b/>
          <w:bCs/>
          <w:i/>
          <w:iCs/>
        </w:rPr>
        <w:t>energy</w:t>
      </w:r>
      <w:r w:rsidR="002514B0" w:rsidRPr="00A9176C">
        <w:rPr>
          <w:b/>
          <w:bCs/>
          <w:i/>
          <w:iCs/>
        </w:rPr>
        <w:t xml:space="preserve"> </w:t>
      </w:r>
      <w:r w:rsidR="00BA5528" w:rsidRPr="00A9176C">
        <w:rPr>
          <w:b/>
          <w:bCs/>
          <w:i/>
          <w:iCs/>
        </w:rPr>
        <w:t>efficiency</w:t>
      </w:r>
      <w:r w:rsidR="002514B0" w:rsidRPr="00A9176C">
        <w:rPr>
          <w:b/>
          <w:bCs/>
          <w:i/>
          <w:iCs/>
        </w:rPr>
        <w:t xml:space="preserve"> </w:t>
      </w:r>
      <w:r w:rsidR="00A355AD" w:rsidRPr="00A9176C">
        <w:rPr>
          <w:b/>
          <w:bCs/>
        </w:rPr>
        <w:t>(EE)</w:t>
      </w:r>
      <w:r w:rsidR="00A355AD" w:rsidRPr="003C7F6D">
        <w:rPr>
          <w:rStyle w:val="FootnoteReference"/>
          <w:szCs w:val="24"/>
        </w:rPr>
        <w:footnoteReference w:id="8"/>
      </w:r>
      <w:r w:rsidR="00A355AD" w:rsidRPr="003C7F6D">
        <w:t>.</w:t>
      </w:r>
      <w:r w:rsidR="002514B0">
        <w:rPr>
          <w:i/>
        </w:rPr>
        <w:t xml:space="preserve"> </w:t>
      </w:r>
      <w:bookmarkStart w:id="25" w:name="_Toc13642746"/>
      <w:r w:rsidR="00A9176C">
        <w:rPr>
          <w:b/>
          <w:i/>
        </w:rPr>
        <w:t xml:space="preserve">Regrettably this never occurred. </w:t>
      </w:r>
      <w:r w:rsidR="00A9176C" w:rsidRPr="00A9176C">
        <w:rPr>
          <w:b/>
          <w:iCs/>
        </w:rPr>
        <w:t>CLEP fi</w:t>
      </w:r>
      <w:r w:rsidR="00A9176C">
        <w:rPr>
          <w:b/>
          <w:iCs/>
        </w:rPr>
        <w:t>ll</w:t>
      </w:r>
      <w:r w:rsidR="00A9176C" w:rsidRPr="00A9176C">
        <w:rPr>
          <w:b/>
          <w:iCs/>
        </w:rPr>
        <w:t>s this void.</w:t>
      </w:r>
      <w:r w:rsidR="00A9176C" w:rsidRPr="00A9176C">
        <w:t xml:space="preserve"> </w:t>
      </w:r>
    </w:p>
    <w:p w14:paraId="5494FAEB" w14:textId="77777777" w:rsidR="00D7690A" w:rsidRDefault="00D7690A" w:rsidP="00A9176C">
      <w:pPr>
        <w:pStyle w:val="BodyText"/>
      </w:pPr>
    </w:p>
    <w:p w14:paraId="112A00C4" w14:textId="12C8D420" w:rsidR="004534FD" w:rsidRPr="00A9176C" w:rsidRDefault="00422B0A" w:rsidP="00A9176C">
      <w:pPr>
        <w:pStyle w:val="Heading2"/>
        <w:rPr>
          <w:szCs w:val="24"/>
        </w:rPr>
      </w:pPr>
      <w:bookmarkStart w:id="26" w:name="_Toc16254888"/>
      <w:bookmarkStart w:id="27" w:name="Table1"/>
      <w:bookmarkStart w:id="28" w:name="_Toc16090409"/>
      <w:bookmarkStart w:id="29" w:name="_Toc16165397"/>
      <w:bookmarkStart w:id="30" w:name="_Toc16317724"/>
      <w:r w:rsidRPr="00422B0A">
        <w:rPr>
          <w:noProof/>
        </w:rPr>
        <w:drawing>
          <wp:anchor distT="0" distB="0" distL="114300" distR="114300" simplePos="0" relativeHeight="251661824" behindDoc="1" locked="0" layoutInCell="1" allowOverlap="1" wp14:anchorId="2EBBA158" wp14:editId="0CBF590B">
            <wp:simplePos x="0" y="0"/>
            <wp:positionH relativeFrom="margin">
              <wp:posOffset>237490</wp:posOffset>
            </wp:positionH>
            <wp:positionV relativeFrom="paragraph">
              <wp:posOffset>576891</wp:posOffset>
            </wp:positionV>
            <wp:extent cx="5920105" cy="2606040"/>
            <wp:effectExtent l="0" t="0" r="4445" b="3810"/>
            <wp:wrapTight wrapText="bothSides">
              <wp:wrapPolygon edited="0">
                <wp:start x="0" y="0"/>
                <wp:lineTo x="0" y="21474"/>
                <wp:lineTo x="21547" y="21474"/>
                <wp:lineTo x="21547" y="0"/>
                <wp:lineTo x="0" y="0"/>
              </wp:wrapPolygon>
            </wp:wrapTight>
            <wp:docPr id="3" name="Picture 2" descr="A screenshot of text&#10;&#10;Description automatically generated">
              <a:extLst xmlns:a="http://schemas.openxmlformats.org/drawingml/2006/main">
                <a:ext uri="{FF2B5EF4-FFF2-40B4-BE49-F238E27FC236}">
                  <a16:creationId xmlns:a16="http://schemas.microsoft.com/office/drawing/2014/main" id="{33F83A67-E863-467B-A48B-FE353F7C7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text&#10;&#10;Description automatically generated">
                      <a:extLst>
                        <a:ext uri="{FF2B5EF4-FFF2-40B4-BE49-F238E27FC236}">
                          <a16:creationId xmlns:a16="http://schemas.microsoft.com/office/drawing/2014/main" id="{33F83A67-E863-467B-A48B-FE353F7C790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0105" cy="2606040"/>
                    </a:xfrm>
                    <a:prstGeom prst="rect">
                      <a:avLst/>
                    </a:prstGeom>
                  </pic:spPr>
                </pic:pic>
              </a:graphicData>
            </a:graphic>
            <wp14:sizeRelH relativeFrom="margin">
              <wp14:pctWidth>0</wp14:pctWidth>
            </wp14:sizeRelH>
            <wp14:sizeRelV relativeFrom="margin">
              <wp14:pctHeight>0</wp14:pctHeight>
            </wp14:sizeRelV>
          </wp:anchor>
        </w:drawing>
      </w:r>
      <w:bookmarkEnd w:id="27"/>
      <w:bookmarkEnd w:id="28"/>
      <w:bookmarkEnd w:id="29"/>
      <w:r w:rsidR="00A9176C" w:rsidRPr="003C7F6D">
        <w:t>TABLE</w:t>
      </w:r>
      <w:r w:rsidR="00A9176C">
        <w:t xml:space="preserve"> </w:t>
      </w:r>
      <w:r w:rsidR="00A9176C" w:rsidRPr="003C7F6D">
        <w:t>1:</w:t>
      </w:r>
      <w:r w:rsidR="00A9176C">
        <w:t xml:space="preserve"> </w:t>
      </w:r>
      <w:r w:rsidR="00A9176C" w:rsidRPr="003C7F6D">
        <w:t>Cashflows</w:t>
      </w:r>
      <w:r w:rsidR="00A9176C">
        <w:t xml:space="preserve"> </w:t>
      </w:r>
      <w:r w:rsidR="00A9176C" w:rsidRPr="003C7F6D">
        <w:t>Estimates</w:t>
      </w:r>
      <w:r w:rsidR="00A9176C">
        <w:t xml:space="preserve"> </w:t>
      </w:r>
      <w:r w:rsidR="00A9176C" w:rsidRPr="003C7F6D">
        <w:t>of</w:t>
      </w:r>
      <w:r w:rsidR="00A9176C">
        <w:t xml:space="preserve"> </w:t>
      </w:r>
      <w:r w:rsidR="00A9176C" w:rsidRPr="003C7F6D">
        <w:t>Key</w:t>
      </w:r>
      <w:r w:rsidR="00A9176C">
        <w:t xml:space="preserve"> </w:t>
      </w:r>
      <w:r w:rsidR="00A9176C" w:rsidRPr="003C7F6D">
        <w:t>Retrofits</w:t>
      </w:r>
      <w:r w:rsidR="00A9176C">
        <w:t xml:space="preserve"> </w:t>
      </w:r>
      <w:r w:rsidR="00A9176C" w:rsidRPr="003C7F6D">
        <w:t>–</w:t>
      </w:r>
      <w:r w:rsidR="00A9176C">
        <w:t xml:space="preserve"> </w:t>
      </w:r>
      <w:r w:rsidR="00A9176C" w:rsidRPr="003C7F6D">
        <w:t>from</w:t>
      </w:r>
      <w:r w:rsidR="00A9176C">
        <w:t xml:space="preserve"> </w:t>
      </w:r>
      <w:r w:rsidR="00A9176C" w:rsidRPr="003C7F6D">
        <w:t>Direct</w:t>
      </w:r>
      <w:r w:rsidR="00A9176C">
        <w:t xml:space="preserve"> </w:t>
      </w:r>
      <w:r w:rsidR="00A9176C" w:rsidRPr="003C7F6D">
        <w:t>Testimony</w:t>
      </w:r>
      <w:r w:rsidR="00A9176C">
        <w:rPr>
          <w:rStyle w:val="FootnoteReference"/>
        </w:rPr>
        <w:footnoteReference w:id="9"/>
      </w:r>
      <w:bookmarkEnd w:id="26"/>
      <w:bookmarkEnd w:id="30"/>
    </w:p>
    <w:p w14:paraId="221AF4A1" w14:textId="3D7E984E" w:rsidR="00445F74" w:rsidRDefault="00B17FA6" w:rsidP="00445F74">
      <w:pPr>
        <w:pStyle w:val="Quote"/>
        <w:numPr>
          <w:ilvl w:val="0"/>
          <w:numId w:val="36"/>
        </w:numPr>
        <w:rPr>
          <w:rStyle w:val="BodyTextChar"/>
          <w:rFonts w:eastAsiaTheme="majorEastAsia"/>
        </w:rPr>
      </w:pPr>
      <w:r w:rsidRPr="00422B0A">
        <w:rPr>
          <w:rStyle w:val="BodyTextChar"/>
          <w:rFonts w:eastAsiaTheme="majorEastAsia"/>
          <w:szCs w:val="22"/>
        </w:rPr>
        <w:t>5</w:t>
      </w:r>
      <w:r w:rsidR="002514B0" w:rsidRPr="00A9176C">
        <w:rPr>
          <w:rStyle w:val="BodyTextChar"/>
          <w:rFonts w:eastAsiaTheme="majorEastAsia"/>
        </w:rPr>
        <w:t xml:space="preserve"> </w:t>
      </w:r>
      <w:r w:rsidRPr="00A9176C">
        <w:rPr>
          <w:rStyle w:val="BodyTextChar"/>
          <w:rFonts w:eastAsiaTheme="majorEastAsia"/>
        </w:rPr>
        <w:t>kW</w:t>
      </w:r>
      <w:r w:rsidR="002514B0" w:rsidRPr="00A9176C">
        <w:rPr>
          <w:rStyle w:val="BodyTextChar"/>
          <w:rFonts w:eastAsiaTheme="majorEastAsia"/>
        </w:rPr>
        <w:t xml:space="preserve"> </w:t>
      </w:r>
      <w:r w:rsidRPr="00A9176C">
        <w:rPr>
          <w:rStyle w:val="BodyTextChar"/>
          <w:rFonts w:eastAsiaTheme="majorEastAsia"/>
        </w:rPr>
        <w:t>of</w:t>
      </w:r>
      <w:r w:rsidR="002514B0" w:rsidRPr="00A9176C">
        <w:rPr>
          <w:rStyle w:val="BodyTextChar"/>
          <w:rFonts w:eastAsiaTheme="majorEastAsia"/>
        </w:rPr>
        <w:t xml:space="preserve"> </w:t>
      </w:r>
      <w:r w:rsidRPr="00A9176C">
        <w:rPr>
          <w:rStyle w:val="BodyTextChar"/>
          <w:rFonts w:eastAsiaTheme="majorEastAsia"/>
        </w:rPr>
        <w:t>Community</w:t>
      </w:r>
      <w:r w:rsidR="002514B0" w:rsidRPr="00A9176C">
        <w:rPr>
          <w:rStyle w:val="BodyTextChar"/>
          <w:rFonts w:eastAsiaTheme="majorEastAsia"/>
        </w:rPr>
        <w:t xml:space="preserve"> </w:t>
      </w:r>
      <w:r w:rsidRPr="00A9176C">
        <w:rPr>
          <w:rStyle w:val="BodyTextChar"/>
          <w:rFonts w:eastAsiaTheme="majorEastAsia"/>
        </w:rPr>
        <w:t>Solar</w:t>
      </w:r>
      <w:r w:rsidR="002514B0" w:rsidRPr="00A9176C">
        <w:rPr>
          <w:rStyle w:val="BodyTextChar"/>
          <w:rFonts w:eastAsiaTheme="majorEastAsia"/>
        </w:rPr>
        <w:t xml:space="preserve"> </w:t>
      </w:r>
      <w:r w:rsidR="00B10653" w:rsidRPr="00A9176C">
        <w:rPr>
          <w:rStyle w:val="BodyTextChar"/>
          <w:rFonts w:eastAsiaTheme="majorEastAsia"/>
        </w:rPr>
        <w:t>in</w:t>
      </w:r>
      <w:r w:rsidR="002514B0" w:rsidRPr="00A9176C">
        <w:rPr>
          <w:rStyle w:val="BodyTextChar"/>
          <w:rFonts w:eastAsiaTheme="majorEastAsia"/>
        </w:rPr>
        <w:t xml:space="preserve"> </w:t>
      </w:r>
      <w:r w:rsidR="00B10653" w:rsidRPr="00A9176C">
        <w:rPr>
          <w:rStyle w:val="BodyTextChar"/>
          <w:rFonts w:eastAsiaTheme="majorEastAsia"/>
        </w:rPr>
        <w:t>NOLA</w:t>
      </w:r>
      <w:r w:rsidR="002514B0" w:rsidRPr="00A9176C">
        <w:rPr>
          <w:rStyle w:val="BodyTextChar"/>
          <w:rFonts w:eastAsiaTheme="majorEastAsia"/>
        </w:rPr>
        <w:t xml:space="preserve"> </w:t>
      </w:r>
      <w:r w:rsidRPr="00A9176C">
        <w:rPr>
          <w:rStyle w:val="BodyTextChar"/>
          <w:rFonts w:eastAsiaTheme="majorEastAsia"/>
        </w:rPr>
        <w:t>produces</w:t>
      </w:r>
      <w:r w:rsidR="002514B0" w:rsidRPr="00A9176C">
        <w:rPr>
          <w:rStyle w:val="BodyTextChar"/>
          <w:rFonts w:eastAsiaTheme="majorEastAsia"/>
        </w:rPr>
        <w:t xml:space="preserve"> </w:t>
      </w:r>
      <w:r w:rsidRPr="00A9176C">
        <w:rPr>
          <w:rStyle w:val="BodyTextChar"/>
          <w:rFonts w:eastAsiaTheme="majorEastAsia"/>
        </w:rPr>
        <w:t>9125</w:t>
      </w:r>
      <w:r w:rsidR="002514B0" w:rsidRPr="00A9176C">
        <w:rPr>
          <w:rStyle w:val="BodyTextChar"/>
          <w:rFonts w:eastAsiaTheme="majorEastAsia"/>
        </w:rPr>
        <w:t xml:space="preserve"> </w:t>
      </w:r>
      <w:r w:rsidRPr="00A9176C">
        <w:rPr>
          <w:rStyle w:val="BodyTextChar"/>
          <w:rFonts w:eastAsiaTheme="majorEastAsia"/>
        </w:rPr>
        <w:t>kWh</w:t>
      </w:r>
      <w:r w:rsidR="00A9176C">
        <w:rPr>
          <w:rStyle w:val="BodyTextChar"/>
          <w:rFonts w:eastAsiaTheme="majorEastAsia"/>
        </w:rPr>
        <w:t>/year</w:t>
      </w:r>
      <w:r w:rsidRPr="00A9176C">
        <w:rPr>
          <w:rStyle w:val="BodyTextChar"/>
          <w:rFonts w:eastAsiaTheme="majorEastAsia"/>
        </w:rPr>
        <w:t>.</w:t>
      </w:r>
      <w:r w:rsidR="002514B0" w:rsidRPr="00A9176C">
        <w:rPr>
          <w:rStyle w:val="BodyTextChar"/>
          <w:rFonts w:eastAsiaTheme="majorEastAsia"/>
        </w:rPr>
        <w:t xml:space="preserve"> </w:t>
      </w:r>
    </w:p>
    <w:p w14:paraId="786E186F" w14:textId="6F6AE259" w:rsidR="00445F74" w:rsidRDefault="00B17FA6" w:rsidP="00445F74">
      <w:pPr>
        <w:pStyle w:val="Quote"/>
        <w:numPr>
          <w:ilvl w:val="0"/>
          <w:numId w:val="36"/>
        </w:numPr>
        <w:rPr>
          <w:rStyle w:val="BodyTextChar"/>
          <w:rFonts w:eastAsiaTheme="majorEastAsia"/>
        </w:rPr>
      </w:pPr>
      <w:r w:rsidRPr="00A9176C">
        <w:rPr>
          <w:rStyle w:val="BodyTextChar"/>
          <w:rFonts w:eastAsiaTheme="majorEastAsia"/>
        </w:rPr>
        <w:t>Dividing</w:t>
      </w:r>
      <w:r w:rsidR="002514B0" w:rsidRPr="00A9176C">
        <w:rPr>
          <w:rStyle w:val="BodyTextChar"/>
          <w:rFonts w:eastAsiaTheme="majorEastAsia"/>
        </w:rPr>
        <w:t xml:space="preserve"> </w:t>
      </w:r>
      <w:r w:rsidRPr="00A9176C">
        <w:rPr>
          <w:rStyle w:val="BodyTextChar"/>
          <w:rFonts w:eastAsiaTheme="majorEastAsia"/>
        </w:rPr>
        <w:t>$1175</w:t>
      </w:r>
      <w:r w:rsidR="002514B0" w:rsidRPr="00A9176C">
        <w:rPr>
          <w:rStyle w:val="BodyTextChar"/>
          <w:rFonts w:eastAsiaTheme="majorEastAsia"/>
        </w:rPr>
        <w:t xml:space="preserve"> </w:t>
      </w:r>
      <w:r w:rsidRPr="00A9176C">
        <w:rPr>
          <w:rStyle w:val="BodyTextChar"/>
          <w:rFonts w:eastAsiaTheme="majorEastAsia"/>
        </w:rPr>
        <w:t>by</w:t>
      </w:r>
      <w:r w:rsidR="002514B0" w:rsidRPr="00A9176C">
        <w:rPr>
          <w:rStyle w:val="BodyTextChar"/>
          <w:rFonts w:eastAsiaTheme="majorEastAsia"/>
        </w:rPr>
        <w:t xml:space="preserve"> </w:t>
      </w:r>
      <w:r w:rsidRPr="00A9176C">
        <w:rPr>
          <w:rStyle w:val="BodyTextChar"/>
          <w:rFonts w:eastAsiaTheme="majorEastAsia"/>
        </w:rPr>
        <w:t>9125</w:t>
      </w:r>
      <w:r w:rsidR="002514B0" w:rsidRPr="00A9176C">
        <w:rPr>
          <w:rStyle w:val="BodyTextChar"/>
          <w:rFonts w:eastAsiaTheme="majorEastAsia"/>
        </w:rPr>
        <w:t xml:space="preserve"> </w:t>
      </w:r>
      <w:r w:rsidRPr="00A9176C">
        <w:rPr>
          <w:rStyle w:val="BodyTextChar"/>
          <w:rFonts w:eastAsiaTheme="majorEastAsia"/>
        </w:rPr>
        <w:t>give</w:t>
      </w:r>
      <w:r w:rsidR="00A9176C">
        <w:rPr>
          <w:rStyle w:val="BodyTextChar"/>
          <w:rFonts w:eastAsiaTheme="majorEastAsia"/>
        </w:rPr>
        <w:t>s</w:t>
      </w:r>
      <w:r w:rsidR="002514B0" w:rsidRPr="00A9176C">
        <w:t xml:space="preserve"> </w:t>
      </w:r>
      <w:r w:rsidRPr="00A9176C">
        <w:rPr>
          <w:rStyle w:val="BodyTextChar"/>
          <w:rFonts w:eastAsiaTheme="majorEastAsia"/>
        </w:rPr>
        <w:t>$0.129</w:t>
      </w:r>
      <w:r w:rsidR="00422B0A">
        <w:rPr>
          <w:rStyle w:val="BodyTextChar"/>
          <w:rFonts w:eastAsiaTheme="majorEastAsia"/>
        </w:rPr>
        <w:t>/</w:t>
      </w:r>
      <w:r w:rsidRPr="00A9176C">
        <w:rPr>
          <w:rStyle w:val="BodyTextChar"/>
          <w:rFonts w:eastAsiaTheme="majorEastAsia"/>
        </w:rPr>
        <w:t>kWh</w:t>
      </w:r>
      <w:r w:rsidR="007D01E2" w:rsidRPr="00A9176C">
        <w:rPr>
          <w:rStyle w:val="BodyTextChar"/>
          <w:rFonts w:eastAsiaTheme="majorEastAsia"/>
        </w:rPr>
        <w:t>.</w:t>
      </w:r>
      <w:r w:rsidR="002514B0" w:rsidRPr="00A9176C">
        <w:rPr>
          <w:rStyle w:val="BodyTextChar"/>
          <w:rFonts w:eastAsiaTheme="majorEastAsia"/>
        </w:rPr>
        <w:t xml:space="preserve"> </w:t>
      </w:r>
    </w:p>
    <w:p w14:paraId="5C0A77AE" w14:textId="5199F848" w:rsidR="00511610" w:rsidRPr="003C7F6D" w:rsidRDefault="007D01E2" w:rsidP="00511610">
      <w:pPr>
        <w:pStyle w:val="Heading1"/>
        <w:rPr>
          <w:sz w:val="36"/>
          <w:szCs w:val="36"/>
        </w:rPr>
      </w:pPr>
      <w:r w:rsidRPr="00ED39D1">
        <w:rPr>
          <w:rStyle w:val="BodyTextChar"/>
          <w:rFonts w:eastAsiaTheme="majorEastAsia"/>
        </w:rPr>
        <w:t>D</w:t>
      </w:r>
      <w:r w:rsidR="00B17FA6" w:rsidRPr="00ED39D1">
        <w:rPr>
          <w:rStyle w:val="BodyTextChar"/>
          <w:rFonts w:eastAsiaTheme="majorEastAsia"/>
        </w:rPr>
        <w:t>ividing</w:t>
      </w:r>
      <w:r w:rsidR="002514B0" w:rsidRPr="00ED39D1">
        <w:rPr>
          <w:rStyle w:val="BodyTextChar"/>
          <w:rFonts w:eastAsiaTheme="majorEastAsia"/>
        </w:rPr>
        <w:t xml:space="preserve"> </w:t>
      </w:r>
      <w:r w:rsidR="00B17FA6" w:rsidRPr="00ED39D1">
        <w:rPr>
          <w:rStyle w:val="BodyTextChar"/>
          <w:rFonts w:eastAsiaTheme="majorEastAsia"/>
        </w:rPr>
        <w:t>that</w:t>
      </w:r>
      <w:r w:rsidR="002514B0" w:rsidRPr="008A34D4">
        <w:rPr>
          <w:rStyle w:val="BodyTextChar"/>
          <w:rFonts w:eastAsiaTheme="majorEastAsia"/>
        </w:rPr>
        <w:t xml:space="preserve"> </w:t>
      </w:r>
      <w:r w:rsidR="00B17FA6" w:rsidRPr="008A34D4">
        <w:rPr>
          <w:rStyle w:val="BodyTextChar"/>
          <w:rFonts w:eastAsiaTheme="majorEastAsia"/>
        </w:rPr>
        <w:t>by</w:t>
      </w:r>
      <w:r w:rsidR="002514B0" w:rsidRPr="008A34D4">
        <w:rPr>
          <w:rStyle w:val="BodyTextChar"/>
          <w:rFonts w:eastAsiaTheme="majorEastAsia"/>
        </w:rPr>
        <w:t xml:space="preserve"> </w:t>
      </w:r>
      <w:r w:rsidR="00B17FA6" w:rsidRPr="008A34D4">
        <w:rPr>
          <w:rStyle w:val="BodyTextChar"/>
          <w:rFonts w:eastAsiaTheme="majorEastAsia"/>
        </w:rPr>
        <w:t>$0.11</w:t>
      </w:r>
      <w:r w:rsidR="002514B0" w:rsidRPr="008A34D4">
        <w:rPr>
          <w:rStyle w:val="BodyTextChar"/>
          <w:rFonts w:eastAsiaTheme="majorEastAsia"/>
        </w:rPr>
        <w:t xml:space="preserve"> </w:t>
      </w:r>
      <w:r w:rsidR="00B17FA6" w:rsidRPr="008A34D4">
        <w:rPr>
          <w:rStyle w:val="BodyTextChar"/>
          <w:rFonts w:eastAsiaTheme="majorEastAsia"/>
        </w:rPr>
        <w:t>means</w:t>
      </w:r>
      <w:r w:rsidR="002514B0" w:rsidRPr="00B55C8E">
        <w:rPr>
          <w:rStyle w:val="BodyTextChar"/>
          <w:rFonts w:eastAsiaTheme="majorEastAsia"/>
        </w:rPr>
        <w:t xml:space="preserve"> </w:t>
      </w:r>
      <w:r w:rsidR="00B17FA6" w:rsidRPr="00662B94">
        <w:rPr>
          <w:rStyle w:val="BodyTextChar"/>
          <w:rFonts w:eastAsiaTheme="majorEastAsia"/>
        </w:rPr>
        <w:t>CLEP</w:t>
      </w:r>
      <w:r w:rsidR="002514B0" w:rsidRPr="00662B94">
        <w:rPr>
          <w:rStyle w:val="BodyTextChar"/>
          <w:rFonts w:eastAsiaTheme="majorEastAsia"/>
        </w:rPr>
        <w:t xml:space="preserve"> </w:t>
      </w:r>
      <w:r w:rsidR="00B17FA6" w:rsidRPr="00662B94">
        <w:rPr>
          <w:rStyle w:val="BodyTextChar"/>
          <w:rFonts w:eastAsiaTheme="majorEastAsia"/>
        </w:rPr>
        <w:t>pays</w:t>
      </w:r>
      <w:r w:rsidR="002514B0" w:rsidRPr="00662B94">
        <w:rPr>
          <w:rStyle w:val="BodyTextChar"/>
          <w:rFonts w:eastAsiaTheme="majorEastAsia"/>
        </w:rPr>
        <w:t xml:space="preserve"> </w:t>
      </w:r>
      <w:r w:rsidR="00B17FA6" w:rsidRPr="00662B94">
        <w:rPr>
          <w:rStyle w:val="BodyTextChar"/>
          <w:rFonts w:eastAsiaTheme="majorEastAsia"/>
        </w:rPr>
        <w:t>17%</w:t>
      </w:r>
      <w:r w:rsidR="002514B0" w:rsidRPr="00662B94">
        <w:rPr>
          <w:rStyle w:val="BodyTextChar"/>
          <w:rFonts w:eastAsiaTheme="majorEastAsia"/>
        </w:rPr>
        <w:t xml:space="preserve"> </w:t>
      </w:r>
      <w:r w:rsidR="00B17FA6" w:rsidRPr="00662B94">
        <w:rPr>
          <w:rStyle w:val="BodyTextChar"/>
          <w:rFonts w:eastAsiaTheme="majorEastAsia"/>
        </w:rPr>
        <w:t>higher</w:t>
      </w:r>
      <w:r w:rsidR="002514B0" w:rsidRPr="00662B94">
        <w:rPr>
          <w:rStyle w:val="BodyTextChar"/>
          <w:rFonts w:eastAsiaTheme="majorEastAsia"/>
        </w:rPr>
        <w:t xml:space="preserve"> </w:t>
      </w:r>
      <w:r w:rsidR="00B17FA6" w:rsidRPr="00662B94">
        <w:rPr>
          <w:rStyle w:val="BodyTextChar"/>
          <w:rFonts w:eastAsiaTheme="majorEastAsia"/>
        </w:rPr>
        <w:t>than</w:t>
      </w:r>
      <w:r w:rsidR="002514B0" w:rsidRPr="00662B94">
        <w:rPr>
          <w:rStyle w:val="BodyTextChar"/>
          <w:rFonts w:eastAsiaTheme="majorEastAsia"/>
        </w:rPr>
        <w:t xml:space="preserve"> </w:t>
      </w:r>
      <w:r w:rsidR="00B17FA6" w:rsidRPr="00662B94">
        <w:rPr>
          <w:rStyle w:val="BodyTextChar"/>
          <w:rFonts w:eastAsiaTheme="majorEastAsia"/>
        </w:rPr>
        <w:t>Retail.</w:t>
      </w:r>
      <w:r w:rsidR="002514B0" w:rsidRPr="00662B94">
        <w:rPr>
          <w:rStyle w:val="BodyTextChar"/>
          <w:rFonts w:eastAsiaTheme="majorEastAsia"/>
        </w:rPr>
        <w:t xml:space="preserve"> </w:t>
      </w:r>
      <w:bookmarkStart w:id="31" w:name="_Toc16090426"/>
      <w:bookmarkStart w:id="32" w:name="_Toc16165398"/>
      <w:bookmarkStart w:id="33" w:name="_Toc16317725"/>
      <w:bookmarkStart w:id="34" w:name="_Toc16254889"/>
      <w:bookmarkEnd w:id="25"/>
      <w:r w:rsidR="00511610" w:rsidRPr="003C7F6D">
        <w:rPr>
          <w:sz w:val="24"/>
          <w:szCs w:val="24"/>
        </w:rPr>
        <w:t>Rebutting</w:t>
      </w:r>
      <w:r w:rsidR="002514B0">
        <w:rPr>
          <w:sz w:val="24"/>
          <w:szCs w:val="24"/>
        </w:rPr>
        <w:t xml:space="preserve"> </w:t>
      </w:r>
      <w:r w:rsidR="00511610" w:rsidRPr="003C7F6D">
        <w:rPr>
          <w:sz w:val="24"/>
          <w:szCs w:val="24"/>
        </w:rPr>
        <w:t>negative</w:t>
      </w:r>
      <w:r w:rsidR="002514B0">
        <w:rPr>
          <w:sz w:val="24"/>
          <w:szCs w:val="24"/>
        </w:rPr>
        <w:t xml:space="preserve"> </w:t>
      </w:r>
      <w:r w:rsidR="00511610" w:rsidRPr="003C7F6D">
        <w:rPr>
          <w:sz w:val="24"/>
          <w:szCs w:val="24"/>
        </w:rPr>
        <w:t>comments</w:t>
      </w:r>
      <w:r w:rsidR="002514B0">
        <w:rPr>
          <w:sz w:val="24"/>
          <w:szCs w:val="24"/>
        </w:rPr>
        <w:t xml:space="preserve"> </w:t>
      </w:r>
      <w:r w:rsidR="00511610" w:rsidRPr="003C7F6D">
        <w:rPr>
          <w:sz w:val="24"/>
          <w:szCs w:val="24"/>
        </w:rPr>
        <w:lastRenderedPageBreak/>
        <w:t>by</w:t>
      </w:r>
      <w:r w:rsidR="002514B0">
        <w:rPr>
          <w:sz w:val="24"/>
          <w:szCs w:val="24"/>
        </w:rPr>
        <w:t xml:space="preserve"> </w:t>
      </w:r>
      <w:r w:rsidR="00511610" w:rsidRPr="003C7F6D">
        <w:rPr>
          <w:sz w:val="24"/>
          <w:szCs w:val="24"/>
        </w:rPr>
        <w:t>the</w:t>
      </w:r>
      <w:r w:rsidR="002514B0">
        <w:rPr>
          <w:sz w:val="24"/>
          <w:szCs w:val="24"/>
        </w:rPr>
        <w:t xml:space="preserve"> </w:t>
      </w:r>
      <w:r w:rsidR="00511610" w:rsidRPr="003C7F6D">
        <w:rPr>
          <w:sz w:val="24"/>
          <w:szCs w:val="24"/>
        </w:rPr>
        <w:t>Advisors</w:t>
      </w:r>
      <w:r w:rsidR="002514B0">
        <w:rPr>
          <w:sz w:val="24"/>
          <w:szCs w:val="24"/>
        </w:rPr>
        <w:t xml:space="preserve"> </w:t>
      </w:r>
      <w:r w:rsidR="00511610" w:rsidRPr="003C7F6D">
        <w:rPr>
          <w:sz w:val="24"/>
          <w:szCs w:val="24"/>
        </w:rPr>
        <w:t>and</w:t>
      </w:r>
      <w:r w:rsidR="002514B0">
        <w:rPr>
          <w:sz w:val="24"/>
          <w:szCs w:val="24"/>
        </w:rPr>
        <w:t xml:space="preserve"> </w:t>
      </w:r>
      <w:r w:rsidR="00511610" w:rsidRPr="003C7F6D">
        <w:rPr>
          <w:sz w:val="24"/>
          <w:szCs w:val="24"/>
        </w:rPr>
        <w:t>ENO</w:t>
      </w:r>
      <w:r w:rsidR="00511610" w:rsidRPr="003C7F6D">
        <w:rPr>
          <w:sz w:val="36"/>
          <w:szCs w:val="36"/>
        </w:rPr>
        <w:t>.</w:t>
      </w:r>
      <w:bookmarkEnd w:id="31"/>
      <w:bookmarkEnd w:id="32"/>
      <w:bookmarkEnd w:id="33"/>
      <w:bookmarkEnd w:id="34"/>
    </w:p>
    <w:p w14:paraId="066EAD1C" w14:textId="46325B9D" w:rsidR="00B25096" w:rsidRDefault="00511610" w:rsidP="009E534A">
      <w:pPr>
        <w:pStyle w:val="Heading2"/>
      </w:pPr>
      <w:bookmarkStart w:id="35" w:name="_Toc16090427"/>
      <w:bookmarkStart w:id="36" w:name="_Toc16165399"/>
      <w:bookmarkStart w:id="37" w:name="_Toc16317726"/>
      <w:bookmarkStart w:id="38" w:name="_Toc16254890"/>
      <w:r w:rsidRPr="003C7F6D">
        <w:t>BSI</w:t>
      </w:r>
      <w:r w:rsidR="002514B0">
        <w:t xml:space="preserve"> </w:t>
      </w:r>
      <w:r w:rsidRPr="003C7F6D">
        <w:t>notes</w:t>
      </w:r>
      <w:r w:rsidR="002514B0">
        <w:t xml:space="preserve"> </w:t>
      </w:r>
      <w:r w:rsidRPr="003C7F6D">
        <w:t>that</w:t>
      </w:r>
      <w:r w:rsidR="002514B0">
        <w:t xml:space="preserve"> </w:t>
      </w:r>
      <w:r w:rsidRPr="003C7F6D">
        <w:t>both</w:t>
      </w:r>
      <w:r w:rsidR="002514B0">
        <w:t xml:space="preserve"> </w:t>
      </w:r>
      <w:r w:rsidRPr="003C7F6D">
        <w:t>ENO</w:t>
      </w:r>
      <w:r w:rsidR="002514B0">
        <w:t xml:space="preserve"> </w:t>
      </w:r>
      <w:r w:rsidRPr="003C7F6D">
        <w:t>and</w:t>
      </w:r>
      <w:r w:rsidR="002514B0">
        <w:t xml:space="preserve"> </w:t>
      </w:r>
      <w:r w:rsidRPr="003C7F6D">
        <w:t>the</w:t>
      </w:r>
      <w:r w:rsidR="002514B0">
        <w:t xml:space="preserve"> </w:t>
      </w:r>
      <w:r w:rsidRPr="003C7F6D">
        <w:t>Advisors</w:t>
      </w:r>
      <w:r w:rsidR="002514B0">
        <w:t xml:space="preserve"> </w:t>
      </w:r>
      <w:r w:rsidRPr="003C7F6D">
        <w:t>originally</w:t>
      </w:r>
      <w:r w:rsidR="002514B0">
        <w:t xml:space="preserve"> </w:t>
      </w:r>
      <w:r w:rsidRPr="003C7F6D">
        <w:t>chose</w:t>
      </w:r>
      <w:r w:rsidR="002514B0">
        <w:t xml:space="preserve"> </w:t>
      </w:r>
      <w:r w:rsidRPr="003C7F6D">
        <w:t>to</w:t>
      </w:r>
      <w:r w:rsidR="002514B0">
        <w:t xml:space="preserve"> </w:t>
      </w:r>
      <w:r w:rsidRPr="003C7F6D">
        <w:t>cross-examine</w:t>
      </w:r>
      <w:r w:rsidR="002514B0">
        <w:t xml:space="preserve"> </w:t>
      </w:r>
      <w:r w:rsidRPr="003C7F6D">
        <w:t>Dr</w:t>
      </w:r>
      <w:r w:rsidR="002514B0">
        <w:t xml:space="preserve"> </w:t>
      </w:r>
      <w:r w:rsidRPr="003C7F6D">
        <w:t>Katz,</w:t>
      </w:r>
      <w:r w:rsidR="002514B0">
        <w:t xml:space="preserve"> </w:t>
      </w:r>
      <w:r w:rsidR="009E534A">
        <w:t>and</w:t>
      </w:r>
      <w:r w:rsidR="002514B0">
        <w:t xml:space="preserve"> </w:t>
      </w:r>
      <w:r w:rsidRPr="003C7F6D">
        <w:t>both</w:t>
      </w:r>
      <w:r w:rsidR="002514B0">
        <w:t xml:space="preserve"> </w:t>
      </w:r>
      <w:r w:rsidR="00467B0B">
        <w:t>decided</w:t>
      </w:r>
      <w:r w:rsidR="002514B0">
        <w:t xml:space="preserve"> </w:t>
      </w:r>
      <w:r w:rsidR="00467B0B">
        <w:t>against</w:t>
      </w:r>
      <w:r w:rsidR="002514B0">
        <w:t xml:space="preserve"> </w:t>
      </w:r>
      <w:r w:rsidR="00467B0B">
        <w:t>doing</w:t>
      </w:r>
      <w:r w:rsidR="002514B0">
        <w:t xml:space="preserve"> </w:t>
      </w:r>
      <w:r w:rsidR="00467B0B">
        <w:t>so</w:t>
      </w:r>
      <w:r w:rsidR="002514B0">
        <w:t xml:space="preserve"> </w:t>
      </w:r>
      <w:r w:rsidR="00467B0B">
        <w:t>and</w:t>
      </w:r>
      <w:r w:rsidR="002514B0">
        <w:t xml:space="preserve"> </w:t>
      </w:r>
      <w:r w:rsidR="00467B0B">
        <w:t>instead</w:t>
      </w:r>
      <w:r w:rsidR="002514B0">
        <w:t xml:space="preserve"> </w:t>
      </w:r>
      <w:r w:rsidR="00A10636" w:rsidRPr="003C7F6D">
        <w:t>decline</w:t>
      </w:r>
      <w:r w:rsidR="00467B0B">
        <w:t>d</w:t>
      </w:r>
      <w:r w:rsidR="002514B0">
        <w:t xml:space="preserve"> </w:t>
      </w:r>
      <w:r w:rsidRPr="003C7F6D">
        <w:t>cross-</w:t>
      </w:r>
      <w:r w:rsidR="00F11127" w:rsidRPr="003C7F6D">
        <w:t>examination</w:t>
      </w:r>
      <w:r w:rsidR="002514B0">
        <w:t xml:space="preserve"> </w:t>
      </w:r>
      <w:r w:rsidR="00A10636" w:rsidRPr="003C7F6D">
        <w:t>of</w:t>
      </w:r>
      <w:r w:rsidR="002514B0">
        <w:t xml:space="preserve"> </w:t>
      </w:r>
      <w:r w:rsidR="00A10636" w:rsidRPr="003C7F6D">
        <w:t>BSI’s</w:t>
      </w:r>
      <w:r w:rsidR="002514B0">
        <w:t xml:space="preserve"> </w:t>
      </w:r>
      <w:r w:rsidR="00A10636" w:rsidRPr="003C7F6D">
        <w:t>witness,</w:t>
      </w:r>
      <w:r w:rsidR="002514B0">
        <w:t xml:space="preserve"> </w:t>
      </w:r>
      <w:r w:rsidR="00A10636" w:rsidRPr="003C7F6D">
        <w:t>Myron</w:t>
      </w:r>
      <w:r w:rsidR="002514B0">
        <w:t xml:space="preserve"> </w:t>
      </w:r>
      <w:r w:rsidR="00A10636" w:rsidRPr="003C7F6D">
        <w:t>Katz,</w:t>
      </w:r>
      <w:r w:rsidR="002514B0">
        <w:t xml:space="preserve"> </w:t>
      </w:r>
      <w:r w:rsidR="00F11127" w:rsidRPr="003C7F6D">
        <w:t>PhD</w:t>
      </w:r>
      <w:r w:rsidR="002514B0">
        <w:t xml:space="preserve"> </w:t>
      </w:r>
      <w:r w:rsidRPr="003C7F6D">
        <w:t>at</w:t>
      </w:r>
      <w:r w:rsidR="002514B0">
        <w:t xml:space="preserve"> </w:t>
      </w:r>
      <w:r w:rsidRPr="003C7F6D">
        <w:t>the</w:t>
      </w:r>
      <w:r w:rsidR="002514B0">
        <w:t xml:space="preserve"> </w:t>
      </w:r>
      <w:r w:rsidRPr="003C7F6D">
        <w:t>evidentiary</w:t>
      </w:r>
      <w:r w:rsidR="002514B0">
        <w:t xml:space="preserve"> </w:t>
      </w:r>
      <w:r w:rsidRPr="003C7F6D">
        <w:t>hearing</w:t>
      </w:r>
      <w:r w:rsidR="00A10636" w:rsidRPr="003C7F6D">
        <w:t>.</w:t>
      </w:r>
      <w:r w:rsidR="002514B0">
        <w:t xml:space="preserve"> </w:t>
      </w:r>
      <w:r w:rsidR="009E534A">
        <w:t>Because</w:t>
      </w:r>
      <w:r w:rsidR="002514B0">
        <w:t xml:space="preserve"> </w:t>
      </w:r>
      <w:r w:rsidR="009E534A">
        <w:t>of</w:t>
      </w:r>
      <w:r w:rsidR="002514B0">
        <w:t xml:space="preserve"> </w:t>
      </w:r>
      <w:r w:rsidR="009E534A">
        <w:t>this,</w:t>
      </w:r>
      <w:r w:rsidR="002514B0">
        <w:t xml:space="preserve"> </w:t>
      </w:r>
      <w:r w:rsidR="009E534A">
        <w:t>BSI</w:t>
      </w:r>
      <w:r w:rsidR="002514B0">
        <w:t xml:space="preserve"> </w:t>
      </w:r>
      <w:r w:rsidR="009E534A">
        <w:t>was</w:t>
      </w:r>
      <w:r w:rsidR="002514B0">
        <w:t xml:space="preserve"> </w:t>
      </w:r>
      <w:r w:rsidR="009E534A">
        <w:t>not</w:t>
      </w:r>
      <w:r w:rsidR="002514B0">
        <w:t xml:space="preserve"> </w:t>
      </w:r>
      <w:r w:rsidR="009E534A">
        <w:t>afforded</w:t>
      </w:r>
      <w:r w:rsidR="002514B0">
        <w:t xml:space="preserve"> </w:t>
      </w:r>
      <w:r w:rsidR="009E534A">
        <w:t>the</w:t>
      </w:r>
      <w:r w:rsidR="002514B0">
        <w:t xml:space="preserve"> </w:t>
      </w:r>
      <w:r w:rsidR="009E534A">
        <w:t>opportunity</w:t>
      </w:r>
      <w:r w:rsidR="002514B0">
        <w:t xml:space="preserve"> </w:t>
      </w:r>
      <w:r w:rsidR="009E534A">
        <w:t>to</w:t>
      </w:r>
      <w:r w:rsidR="002514B0">
        <w:t xml:space="preserve"> </w:t>
      </w:r>
      <w:r w:rsidR="009E534A">
        <w:t>respond</w:t>
      </w:r>
      <w:r w:rsidR="002514B0">
        <w:t xml:space="preserve"> </w:t>
      </w:r>
      <w:r w:rsidR="009E534A">
        <w:t>to</w:t>
      </w:r>
      <w:r w:rsidR="002514B0">
        <w:t xml:space="preserve"> </w:t>
      </w:r>
      <w:r w:rsidR="009E534A">
        <w:t>any</w:t>
      </w:r>
      <w:r w:rsidR="002514B0">
        <w:t xml:space="preserve"> </w:t>
      </w:r>
      <w:r w:rsidR="009E534A">
        <w:t>concerns</w:t>
      </w:r>
      <w:r w:rsidR="002514B0">
        <w:t xml:space="preserve"> </w:t>
      </w:r>
      <w:r w:rsidR="009E534A">
        <w:t>or</w:t>
      </w:r>
      <w:r w:rsidR="002514B0">
        <w:t xml:space="preserve"> </w:t>
      </w:r>
      <w:r w:rsidR="009E534A">
        <w:t>clarify</w:t>
      </w:r>
      <w:r w:rsidR="002514B0">
        <w:t xml:space="preserve"> </w:t>
      </w:r>
      <w:r w:rsidR="009E534A">
        <w:t>any</w:t>
      </w:r>
      <w:r w:rsidR="002514B0">
        <w:t xml:space="preserve"> </w:t>
      </w:r>
      <w:r w:rsidR="009E534A">
        <w:t>misunderstandings</w:t>
      </w:r>
      <w:r w:rsidR="002514B0">
        <w:t xml:space="preserve"> </w:t>
      </w:r>
      <w:r w:rsidR="009E534A">
        <w:t>that</w:t>
      </w:r>
      <w:r w:rsidR="002514B0">
        <w:t xml:space="preserve"> </w:t>
      </w:r>
      <w:r w:rsidR="009E534A">
        <w:t>ENO</w:t>
      </w:r>
      <w:r w:rsidR="002514B0">
        <w:t xml:space="preserve"> </w:t>
      </w:r>
      <w:r w:rsidR="009E534A">
        <w:t>or</w:t>
      </w:r>
      <w:r w:rsidR="002514B0">
        <w:t xml:space="preserve"> </w:t>
      </w:r>
      <w:r w:rsidR="009E534A">
        <w:t>the</w:t>
      </w:r>
      <w:r w:rsidR="002514B0">
        <w:t xml:space="preserve"> </w:t>
      </w:r>
      <w:r w:rsidR="009E534A">
        <w:t>Advisors</w:t>
      </w:r>
      <w:r w:rsidR="002514B0">
        <w:t xml:space="preserve"> </w:t>
      </w:r>
      <w:r w:rsidR="009E534A">
        <w:t>may</w:t>
      </w:r>
      <w:r w:rsidR="002514B0">
        <w:t xml:space="preserve"> </w:t>
      </w:r>
      <w:r w:rsidR="009E534A">
        <w:t>have</w:t>
      </w:r>
      <w:r w:rsidR="002514B0">
        <w:t xml:space="preserve"> </w:t>
      </w:r>
      <w:r w:rsidR="009E534A">
        <w:t>had.</w:t>
      </w:r>
      <w:r w:rsidR="002514B0">
        <w:t xml:space="preserve"> </w:t>
      </w:r>
      <w:r w:rsidR="009E534A">
        <w:t>Please</w:t>
      </w:r>
      <w:r w:rsidR="002514B0">
        <w:t xml:space="preserve"> </w:t>
      </w:r>
      <w:r w:rsidR="009E534A">
        <w:t>s</w:t>
      </w:r>
      <w:r w:rsidRPr="003C7F6D">
        <w:t>ee</w:t>
      </w:r>
      <w:r w:rsidR="002514B0">
        <w:t xml:space="preserve"> </w:t>
      </w:r>
      <w:hyperlink w:anchor="_Appendix_2._SURREBUTTAL" w:history="1">
        <w:r w:rsidR="001C7AB1" w:rsidRPr="00D7690A">
          <w:rPr>
            <w:rStyle w:val="Hyperlink"/>
          </w:rPr>
          <w:t>Appendix</w:t>
        </w:r>
        <w:r w:rsidR="002514B0" w:rsidRPr="00D7690A">
          <w:rPr>
            <w:rStyle w:val="Hyperlink"/>
          </w:rPr>
          <w:t xml:space="preserve"> </w:t>
        </w:r>
        <w:r w:rsidR="001C7AB1" w:rsidRPr="00D7690A">
          <w:rPr>
            <w:rStyle w:val="Hyperlink"/>
          </w:rPr>
          <w:t>2</w:t>
        </w:r>
      </w:hyperlink>
      <w:r w:rsidRPr="003C7F6D">
        <w:t>.</w:t>
      </w:r>
      <w:bookmarkEnd w:id="35"/>
      <w:bookmarkEnd w:id="36"/>
      <w:bookmarkEnd w:id="37"/>
      <w:bookmarkEnd w:id="38"/>
    </w:p>
    <w:p w14:paraId="52292169" w14:textId="77777777" w:rsidR="009E534A" w:rsidRPr="009E534A" w:rsidRDefault="009E534A" w:rsidP="009E534A"/>
    <w:p w14:paraId="06F3369B" w14:textId="717E6F74" w:rsidR="00511610" w:rsidRPr="003C7F6D" w:rsidRDefault="00511610" w:rsidP="001C7AB1">
      <w:pPr>
        <w:pStyle w:val="Heading2"/>
      </w:pPr>
      <w:bookmarkStart w:id="39" w:name="_Toc16090428"/>
      <w:bookmarkStart w:id="40" w:name="_Toc16165400"/>
      <w:bookmarkStart w:id="41" w:name="_Toc16317727"/>
      <w:bookmarkStart w:id="42" w:name="_Toc16254891"/>
      <w:r w:rsidRPr="003C7F6D">
        <w:t>ENO</w:t>
      </w:r>
      <w:r w:rsidR="002514B0">
        <w:t xml:space="preserve"> </w:t>
      </w:r>
      <w:r w:rsidR="00C16D76">
        <w:t>d</w:t>
      </w:r>
      <w:r w:rsidR="00926C24" w:rsidRPr="003C7F6D">
        <w:t>iscourages</w:t>
      </w:r>
      <w:r w:rsidR="002514B0">
        <w:t xml:space="preserve"> </w:t>
      </w:r>
      <w:r w:rsidR="00926C24" w:rsidRPr="003C7F6D">
        <w:t>use</w:t>
      </w:r>
      <w:r w:rsidR="002514B0">
        <w:t xml:space="preserve"> </w:t>
      </w:r>
      <w:r w:rsidR="00926C24" w:rsidRPr="003C7F6D">
        <w:t>of</w:t>
      </w:r>
      <w:r w:rsidR="002514B0">
        <w:t xml:space="preserve"> </w:t>
      </w:r>
      <w:r w:rsidR="00926C24" w:rsidRPr="003C7F6D">
        <w:t>CLEP</w:t>
      </w:r>
      <w:r w:rsidRPr="003C7F6D">
        <w:t>.</w:t>
      </w:r>
      <w:bookmarkEnd w:id="39"/>
      <w:bookmarkEnd w:id="40"/>
      <w:bookmarkEnd w:id="41"/>
      <w:bookmarkEnd w:id="42"/>
    </w:p>
    <w:p w14:paraId="3B829048" w14:textId="6359A48D" w:rsidR="00511610" w:rsidRPr="003C7F6D" w:rsidRDefault="00511610" w:rsidP="003C7F6D">
      <w:pPr>
        <w:pStyle w:val="Quote"/>
        <w:rPr>
          <w:b/>
          <w:sz w:val="20"/>
        </w:rPr>
      </w:pPr>
      <w:r w:rsidRPr="003C7F6D">
        <w:t>“4.</w:t>
      </w:r>
      <w:r w:rsidR="002514B0">
        <w:t xml:space="preserve"> </w:t>
      </w:r>
      <w:r w:rsidRPr="003C7F6D">
        <w:t>The</w:t>
      </w:r>
      <w:r w:rsidR="002514B0">
        <w:t xml:space="preserve"> </w:t>
      </w:r>
      <w:r w:rsidRPr="003C7F6D">
        <w:t>CLEP</w:t>
      </w:r>
      <w:r w:rsidR="002514B0">
        <w:t xml:space="preserve"> </w:t>
      </w:r>
      <w:r w:rsidRPr="003C7F6D">
        <w:t>is</w:t>
      </w:r>
      <w:r w:rsidR="002514B0">
        <w:t xml:space="preserve"> </w:t>
      </w:r>
      <w:r w:rsidRPr="003C7F6D">
        <w:t>indistinguishable</w:t>
      </w:r>
      <w:r w:rsidR="002514B0">
        <w:t xml:space="preserve"> </w:t>
      </w:r>
      <w:r w:rsidRPr="003C7F6D">
        <w:t>from</w:t>
      </w:r>
      <w:r w:rsidR="002514B0">
        <w:t xml:space="preserve"> </w:t>
      </w:r>
      <w:r w:rsidRPr="003C7F6D">
        <w:t>past</w:t>
      </w:r>
      <w:r w:rsidR="002514B0">
        <w:t xml:space="preserve"> </w:t>
      </w:r>
      <w:r w:rsidRPr="003C7F6D">
        <w:t>proposals</w:t>
      </w:r>
      <w:r w:rsidR="002514B0">
        <w:t xml:space="preserve"> </w:t>
      </w:r>
      <w:r w:rsidRPr="003C7F6D">
        <w:t>previously</w:t>
      </w:r>
      <w:r w:rsidR="002514B0">
        <w:t xml:space="preserve"> </w:t>
      </w:r>
      <w:r w:rsidRPr="003C7F6D">
        <w:t>rejected</w:t>
      </w:r>
      <w:r w:rsidR="002514B0">
        <w:t xml:space="preserve"> </w:t>
      </w:r>
      <w:r w:rsidRPr="003C7F6D">
        <w:t>by</w:t>
      </w:r>
      <w:r w:rsidR="002514B0">
        <w:t xml:space="preserve"> </w:t>
      </w:r>
      <w:r w:rsidRPr="003C7F6D">
        <w:t>the</w:t>
      </w:r>
      <w:r w:rsidR="002514B0">
        <w:rPr>
          <w:spacing w:val="3"/>
        </w:rPr>
        <w:t xml:space="preserve"> </w:t>
      </w:r>
      <w:r w:rsidRPr="003C7F6D">
        <w:t>Council.</w:t>
      </w:r>
      <w:r w:rsidR="002514B0">
        <w:t xml:space="preserve"> </w:t>
      </w:r>
      <w:r w:rsidR="00926C24" w:rsidRPr="003C7F6D">
        <w:t>ENO</w:t>
      </w:r>
      <w:r w:rsidR="002514B0">
        <w:t xml:space="preserve"> </w:t>
      </w:r>
      <w:r w:rsidR="00926C24" w:rsidRPr="003C7F6D">
        <w:t>Brief</w:t>
      </w:r>
      <w:r w:rsidR="002514B0">
        <w:t xml:space="preserve"> </w:t>
      </w:r>
      <w:r w:rsidR="00926C24" w:rsidRPr="003C7F6D">
        <w:t>page</w:t>
      </w:r>
      <w:r w:rsidR="002514B0">
        <w:t xml:space="preserve"> </w:t>
      </w:r>
      <w:r w:rsidR="00926C24" w:rsidRPr="003C7F6D">
        <w:t>99</w:t>
      </w:r>
      <w:r w:rsidR="00A1180C" w:rsidRPr="003C7F6D">
        <w:t>.</w:t>
      </w:r>
    </w:p>
    <w:p w14:paraId="1AE5E7EF" w14:textId="08880A3B" w:rsidR="00511610" w:rsidRPr="003C7F6D" w:rsidRDefault="00511610" w:rsidP="003C7F6D">
      <w:pPr>
        <w:pStyle w:val="Quote"/>
      </w:pPr>
      <w:r w:rsidRPr="003C7F6D">
        <w:t>Building</w:t>
      </w:r>
      <w:r w:rsidR="002514B0">
        <w:t xml:space="preserve"> </w:t>
      </w:r>
      <w:r w:rsidRPr="003C7F6D">
        <w:t>Science</w:t>
      </w:r>
      <w:r w:rsidR="002514B0">
        <w:t xml:space="preserve"> </w:t>
      </w:r>
      <w:r w:rsidRPr="003C7F6D">
        <w:t>Innovators,</w:t>
      </w:r>
      <w:r w:rsidR="002514B0">
        <w:t xml:space="preserve"> </w:t>
      </w:r>
      <w:r w:rsidRPr="003C7F6D">
        <w:t>LLC</w:t>
      </w:r>
      <w:r w:rsidR="002514B0">
        <w:t xml:space="preserve"> </w:t>
      </w:r>
      <w:r w:rsidRPr="003C7F6D">
        <w:t>(“BSI”)</w:t>
      </w:r>
      <w:r w:rsidR="002514B0">
        <w:t xml:space="preserve"> </w:t>
      </w:r>
      <w:r w:rsidRPr="003C7F6D">
        <w:t>has,</w:t>
      </w:r>
      <w:r w:rsidR="002514B0">
        <w:t xml:space="preserve"> </w:t>
      </w:r>
      <w:r w:rsidRPr="003C7F6D">
        <w:t>as</w:t>
      </w:r>
      <w:r w:rsidR="002514B0">
        <w:t xml:space="preserve"> </w:t>
      </w:r>
      <w:r w:rsidRPr="003C7F6D">
        <w:t>part</w:t>
      </w:r>
      <w:r w:rsidR="002514B0">
        <w:t xml:space="preserve"> </w:t>
      </w:r>
      <w:r w:rsidRPr="003C7F6D">
        <w:rPr>
          <w:spacing w:val="2"/>
        </w:rPr>
        <w:t>of</w:t>
      </w:r>
      <w:r w:rsidR="002514B0">
        <w:rPr>
          <w:spacing w:val="2"/>
        </w:rPr>
        <w:t xml:space="preserve"> </w:t>
      </w:r>
      <w:r w:rsidRPr="003C7F6D">
        <w:t>this</w:t>
      </w:r>
      <w:r w:rsidR="002514B0">
        <w:t xml:space="preserve"> </w:t>
      </w:r>
      <w:r w:rsidRPr="003C7F6D">
        <w:t>proceeding,</w:t>
      </w:r>
      <w:r w:rsidR="002514B0">
        <w:t xml:space="preserve"> </w:t>
      </w:r>
      <w:r w:rsidRPr="003C7F6D">
        <w:t>once</w:t>
      </w:r>
      <w:r w:rsidR="002514B0">
        <w:t xml:space="preserve"> </w:t>
      </w:r>
      <w:r w:rsidRPr="003C7F6D">
        <w:t>again</w:t>
      </w:r>
      <w:r w:rsidR="002514B0">
        <w:t xml:space="preserve"> </w:t>
      </w:r>
      <w:r w:rsidRPr="003C7F6D">
        <w:t>sought</w:t>
      </w:r>
      <w:r w:rsidR="002514B0">
        <w:t xml:space="preserve"> </w:t>
      </w:r>
      <w:r w:rsidRPr="003C7F6D">
        <w:t>to</w:t>
      </w:r>
      <w:r w:rsidR="002514B0">
        <w:t xml:space="preserve"> </w:t>
      </w:r>
      <w:r w:rsidRPr="003C7F6D">
        <w:rPr>
          <w:spacing w:val="-3"/>
        </w:rPr>
        <w:t>have</w:t>
      </w:r>
      <w:r w:rsidR="002514B0">
        <w:rPr>
          <w:spacing w:val="-3"/>
        </w:rPr>
        <w:t xml:space="preserve"> </w:t>
      </w:r>
      <w:r w:rsidRPr="003C7F6D">
        <w:t>the</w:t>
      </w:r>
      <w:r w:rsidR="002514B0">
        <w:t xml:space="preserve"> </w:t>
      </w:r>
      <w:r w:rsidRPr="003C7F6D">
        <w:t>Council</w:t>
      </w:r>
      <w:r w:rsidR="002514B0">
        <w:t xml:space="preserve"> </w:t>
      </w:r>
      <w:r w:rsidRPr="003C7F6D">
        <w:t>approve</w:t>
      </w:r>
      <w:r w:rsidR="002514B0">
        <w:t xml:space="preserve"> </w:t>
      </w:r>
      <w:r w:rsidRPr="003C7F6D">
        <w:t>and</w:t>
      </w:r>
      <w:r w:rsidR="002514B0">
        <w:t xml:space="preserve"> </w:t>
      </w:r>
      <w:r w:rsidRPr="003C7F6D">
        <w:t>the</w:t>
      </w:r>
      <w:r w:rsidR="002514B0">
        <w:t xml:space="preserve"> </w:t>
      </w:r>
      <w:r w:rsidRPr="003C7F6D">
        <w:t>Company</w:t>
      </w:r>
      <w:r w:rsidR="002514B0">
        <w:t xml:space="preserve"> </w:t>
      </w:r>
      <w:r w:rsidRPr="003C7F6D">
        <w:t>implement</w:t>
      </w:r>
      <w:r w:rsidR="002514B0">
        <w:t xml:space="preserve"> </w:t>
      </w:r>
      <w:r w:rsidRPr="003C7F6D">
        <w:t>a</w:t>
      </w:r>
      <w:r w:rsidR="002514B0">
        <w:t xml:space="preserve"> </w:t>
      </w:r>
      <w:r w:rsidRPr="003C7F6D">
        <w:t>concept</w:t>
      </w:r>
      <w:r w:rsidR="002514B0">
        <w:t xml:space="preserve"> </w:t>
      </w:r>
      <w:r w:rsidRPr="003C7F6D">
        <w:t>known</w:t>
      </w:r>
      <w:r w:rsidR="002514B0">
        <w:t xml:space="preserve"> </w:t>
      </w:r>
      <w:r w:rsidRPr="003C7F6D">
        <w:t>as</w:t>
      </w:r>
      <w:r w:rsidR="002514B0">
        <w:t xml:space="preserve"> </w:t>
      </w:r>
      <w:r w:rsidRPr="003C7F6D">
        <w:t>Consumer</w:t>
      </w:r>
      <w:r w:rsidR="002514B0">
        <w:t xml:space="preserve"> </w:t>
      </w:r>
      <w:r w:rsidRPr="003C7F6D">
        <w:t>Lowered</w:t>
      </w:r>
      <w:r w:rsidR="002514B0">
        <w:t xml:space="preserve"> </w:t>
      </w:r>
      <w:r w:rsidRPr="003C7F6D">
        <w:t>Electricity</w:t>
      </w:r>
      <w:r w:rsidR="002514B0">
        <w:t xml:space="preserve"> </w:t>
      </w:r>
      <w:r w:rsidRPr="003C7F6D">
        <w:t>Pricing</w:t>
      </w:r>
      <w:r w:rsidR="002514B0">
        <w:t xml:space="preserve"> </w:t>
      </w:r>
      <w:r w:rsidRPr="003C7F6D">
        <w:rPr>
          <w:spacing w:val="2"/>
        </w:rPr>
        <w:t>or</w:t>
      </w:r>
      <w:r w:rsidR="002514B0">
        <w:rPr>
          <w:spacing w:val="2"/>
        </w:rPr>
        <w:t xml:space="preserve"> </w:t>
      </w:r>
      <w:r w:rsidRPr="003C7F6D">
        <w:t>“CLEP.”</w:t>
      </w:r>
      <w:r w:rsidR="002514B0">
        <w:t xml:space="preserve"> </w:t>
      </w:r>
      <w:r w:rsidRPr="003C7F6D">
        <w:t>As</w:t>
      </w:r>
      <w:r w:rsidR="002514B0">
        <w:t xml:space="preserve"> </w:t>
      </w:r>
      <w:r w:rsidRPr="003C7F6D">
        <w:t>Mr.</w:t>
      </w:r>
      <w:r w:rsidR="002514B0">
        <w:t xml:space="preserve"> </w:t>
      </w:r>
      <w:r w:rsidRPr="003C7F6D">
        <w:t>Owens’</w:t>
      </w:r>
      <w:r w:rsidR="002514B0">
        <w:t xml:space="preserve"> </w:t>
      </w:r>
      <w:r w:rsidRPr="003C7F6D">
        <w:t>Rebuttal</w:t>
      </w:r>
      <w:r w:rsidR="002514B0">
        <w:t xml:space="preserve"> </w:t>
      </w:r>
      <w:r w:rsidRPr="003C7F6D">
        <w:t>Testimony</w:t>
      </w:r>
      <w:r w:rsidR="002514B0">
        <w:t xml:space="preserve"> </w:t>
      </w:r>
      <w:r w:rsidRPr="003C7F6D">
        <w:t>notes,</w:t>
      </w:r>
      <w:r w:rsidR="002514B0">
        <w:t xml:space="preserve"> </w:t>
      </w:r>
      <w:r w:rsidRPr="003C7F6D">
        <w:t>the</w:t>
      </w:r>
      <w:r w:rsidR="002514B0">
        <w:t xml:space="preserve"> </w:t>
      </w:r>
      <w:r w:rsidRPr="003C7F6D">
        <w:t>Council</w:t>
      </w:r>
      <w:r w:rsidR="002514B0">
        <w:t xml:space="preserve"> </w:t>
      </w:r>
      <w:r w:rsidRPr="003C7F6D">
        <w:t>has</w:t>
      </w:r>
      <w:r w:rsidR="002514B0">
        <w:t xml:space="preserve"> </w:t>
      </w:r>
      <w:r w:rsidRPr="003C7F6D">
        <w:t>previously</w:t>
      </w:r>
      <w:r w:rsidR="002514B0">
        <w:t xml:space="preserve"> </w:t>
      </w:r>
      <w:r w:rsidRPr="003C7F6D">
        <w:t>rejected</w:t>
      </w:r>
      <w:r w:rsidR="002514B0">
        <w:t xml:space="preserve"> </w:t>
      </w:r>
      <w:r w:rsidRPr="003C7F6D">
        <w:t>BSI’s</w:t>
      </w:r>
      <w:r w:rsidR="002514B0">
        <w:t xml:space="preserve"> </w:t>
      </w:r>
      <w:r w:rsidRPr="003C7F6D">
        <w:t>CLEP</w:t>
      </w:r>
      <w:r w:rsidR="002514B0">
        <w:t xml:space="preserve"> </w:t>
      </w:r>
      <w:r w:rsidRPr="003C7F6D">
        <w:t>proposals</w:t>
      </w:r>
      <w:r w:rsidR="002514B0">
        <w:t xml:space="preserve"> </w:t>
      </w:r>
      <w:r w:rsidRPr="003C7F6D">
        <w:t>due</w:t>
      </w:r>
      <w:r w:rsidR="002514B0">
        <w:t xml:space="preserve"> </w:t>
      </w:r>
      <w:r w:rsidRPr="003C7F6D">
        <w:t>to</w:t>
      </w:r>
      <w:r w:rsidR="002514B0">
        <w:t xml:space="preserve"> </w:t>
      </w:r>
      <w:r w:rsidRPr="003C7F6D">
        <w:t>numerous</w:t>
      </w:r>
      <w:r w:rsidR="002514B0">
        <w:t xml:space="preserve"> </w:t>
      </w:r>
      <w:r w:rsidRPr="003C7F6D">
        <w:t>flaws</w:t>
      </w:r>
      <w:r w:rsidR="002514B0">
        <w:t xml:space="preserve"> </w:t>
      </w:r>
      <w:r w:rsidRPr="003C7F6D">
        <w:t>and</w:t>
      </w:r>
      <w:r w:rsidR="002514B0">
        <w:t xml:space="preserve"> </w:t>
      </w:r>
      <w:r w:rsidRPr="003C7F6D">
        <w:t>erroneous</w:t>
      </w:r>
      <w:r w:rsidR="002514B0">
        <w:t xml:space="preserve"> </w:t>
      </w:r>
      <w:r w:rsidRPr="003C7F6D">
        <w:t>assumptions</w:t>
      </w:r>
      <w:r w:rsidR="002514B0">
        <w:t xml:space="preserve"> </w:t>
      </w:r>
      <w:r w:rsidRPr="003C7F6D">
        <w:t>underlying</w:t>
      </w:r>
      <w:r w:rsidR="002514B0">
        <w:t xml:space="preserve"> </w:t>
      </w:r>
      <w:r w:rsidRPr="003C7F6D">
        <w:t>the</w:t>
      </w:r>
      <w:r w:rsidR="002514B0">
        <w:t xml:space="preserve"> </w:t>
      </w:r>
      <w:r w:rsidRPr="003C7F6D">
        <w:t>proposal.</w:t>
      </w:r>
      <w:hyperlink w:anchor="_bookmark379" w:history="1">
        <w:r w:rsidRPr="003C7F6D">
          <w:rPr>
            <w:position w:val="9"/>
            <w:sz w:val="16"/>
          </w:rPr>
          <w:t>339</w:t>
        </w:r>
      </w:hyperlink>
      <w:r w:rsidR="002514B0">
        <w:rPr>
          <w:position w:val="9"/>
          <w:sz w:val="16"/>
        </w:rPr>
        <w:t xml:space="preserve"> </w:t>
      </w:r>
      <w:r w:rsidRPr="003C7F6D">
        <w:t>When</w:t>
      </w:r>
      <w:r w:rsidR="002514B0">
        <w:t xml:space="preserve"> </w:t>
      </w:r>
      <w:r w:rsidRPr="003C7F6D">
        <w:t>confronted</w:t>
      </w:r>
      <w:r w:rsidR="002514B0">
        <w:t xml:space="preserve"> </w:t>
      </w:r>
      <w:r w:rsidRPr="003C7F6D">
        <w:t>with</w:t>
      </w:r>
      <w:r w:rsidR="002514B0">
        <w:t xml:space="preserve"> </w:t>
      </w:r>
      <w:r w:rsidRPr="003C7F6D">
        <w:t>this</w:t>
      </w:r>
      <w:r w:rsidR="002514B0">
        <w:t xml:space="preserve"> </w:t>
      </w:r>
      <w:r w:rsidRPr="003C7F6D">
        <w:t>reality,</w:t>
      </w:r>
      <w:r w:rsidR="002514B0">
        <w:t xml:space="preserve"> </w:t>
      </w:r>
      <w:r w:rsidRPr="003C7F6D">
        <w:t>BSI</w:t>
      </w:r>
      <w:r w:rsidR="002514B0">
        <w:t xml:space="preserve"> </w:t>
      </w:r>
      <w:r w:rsidRPr="003C7F6D">
        <w:t>did</w:t>
      </w:r>
      <w:r w:rsidR="002514B0">
        <w:t xml:space="preserve"> </w:t>
      </w:r>
      <w:r w:rsidRPr="003C7F6D">
        <w:t>not</w:t>
      </w:r>
      <w:r w:rsidR="002514B0">
        <w:t xml:space="preserve"> </w:t>
      </w:r>
      <w:r w:rsidRPr="003C7F6D">
        <w:t>attempt</w:t>
      </w:r>
      <w:r w:rsidR="002514B0">
        <w:t xml:space="preserve"> </w:t>
      </w:r>
      <w:r w:rsidRPr="003C7F6D">
        <w:t>to</w:t>
      </w:r>
      <w:r w:rsidR="002514B0">
        <w:t xml:space="preserve"> </w:t>
      </w:r>
      <w:r w:rsidRPr="003C7F6D">
        <w:t>modify</w:t>
      </w:r>
      <w:r w:rsidR="002514B0">
        <w:t xml:space="preserve"> </w:t>
      </w:r>
      <w:r w:rsidRPr="003C7F6D">
        <w:t>CLEP</w:t>
      </w:r>
      <w:r w:rsidR="002514B0">
        <w:t xml:space="preserve"> </w:t>
      </w:r>
      <w:r w:rsidRPr="003C7F6D">
        <w:t>or</w:t>
      </w:r>
      <w:r w:rsidR="002514B0">
        <w:t xml:space="preserve"> </w:t>
      </w:r>
      <w:r w:rsidRPr="003C7F6D">
        <w:t>otherwise</w:t>
      </w:r>
      <w:r w:rsidR="002514B0">
        <w:t xml:space="preserve"> </w:t>
      </w:r>
      <w:r w:rsidRPr="003C7F6D">
        <w:t>address</w:t>
      </w:r>
      <w:r w:rsidR="002514B0">
        <w:t xml:space="preserve"> </w:t>
      </w:r>
      <w:r w:rsidRPr="003C7F6D">
        <w:t>the</w:t>
      </w:r>
      <w:r w:rsidR="002514B0">
        <w:t xml:space="preserve"> </w:t>
      </w:r>
      <w:r w:rsidRPr="003C7F6D">
        <w:t>flaws</w:t>
      </w:r>
      <w:r w:rsidR="002514B0">
        <w:t xml:space="preserve"> </w:t>
      </w:r>
      <w:r w:rsidRPr="003C7F6D">
        <w:t>previously</w:t>
      </w:r>
      <w:r w:rsidR="002514B0">
        <w:t xml:space="preserve"> </w:t>
      </w:r>
      <w:r w:rsidRPr="003C7F6D">
        <w:t>identified</w:t>
      </w:r>
      <w:r w:rsidR="002514B0">
        <w:t xml:space="preserve"> </w:t>
      </w:r>
      <w:r w:rsidRPr="003C7F6D">
        <w:t>by</w:t>
      </w:r>
      <w:r w:rsidR="002514B0">
        <w:t xml:space="preserve"> </w:t>
      </w:r>
      <w:r w:rsidRPr="003C7F6D">
        <w:t>the</w:t>
      </w:r>
      <w:r w:rsidR="002514B0">
        <w:t xml:space="preserve"> </w:t>
      </w:r>
      <w:r w:rsidRPr="003C7F6D">
        <w:t>Council.</w:t>
      </w:r>
      <w:r w:rsidR="002514B0">
        <w:t xml:space="preserve"> </w:t>
      </w:r>
      <w:r w:rsidRPr="003C7F6D">
        <w:t>Instead,</w:t>
      </w:r>
      <w:r w:rsidR="002514B0">
        <w:t xml:space="preserve"> </w:t>
      </w:r>
      <w:r w:rsidRPr="003C7F6D">
        <w:t>BSI’s</w:t>
      </w:r>
      <w:r w:rsidR="002514B0">
        <w:t xml:space="preserve"> </w:t>
      </w:r>
      <w:r w:rsidRPr="003C7F6D">
        <w:t>witness</w:t>
      </w:r>
      <w:r w:rsidR="002514B0">
        <w:t xml:space="preserve"> </w:t>
      </w:r>
      <w:r w:rsidRPr="003C7F6D">
        <w:t>responded</w:t>
      </w:r>
      <w:r w:rsidR="002514B0">
        <w:t xml:space="preserve"> </w:t>
      </w:r>
      <w:r w:rsidRPr="003C7F6D">
        <w:t>with</w:t>
      </w:r>
      <w:r w:rsidR="002514B0">
        <w:t xml:space="preserve"> </w:t>
      </w:r>
      <w:r w:rsidRPr="003C7F6D">
        <w:t>incomprehensible</w:t>
      </w:r>
      <w:r w:rsidR="002514B0">
        <w:t xml:space="preserve"> </w:t>
      </w:r>
      <w:r w:rsidRPr="003C7F6D">
        <w:t>procedural</w:t>
      </w:r>
      <w:r w:rsidR="002514B0">
        <w:t xml:space="preserve"> </w:t>
      </w:r>
      <w:r w:rsidRPr="003C7F6D">
        <w:t>arguments</w:t>
      </w:r>
      <w:r w:rsidR="002514B0">
        <w:t xml:space="preserve"> </w:t>
      </w:r>
      <w:r w:rsidRPr="003C7F6D">
        <w:t>(in</w:t>
      </w:r>
      <w:r w:rsidR="002514B0">
        <w:t xml:space="preserve"> </w:t>
      </w:r>
      <w:r w:rsidRPr="003C7F6D">
        <w:t>testimony)</w:t>
      </w:r>
      <w:r w:rsidR="002514B0">
        <w:t xml:space="preserve"> </w:t>
      </w:r>
      <w:r w:rsidRPr="003C7F6D">
        <w:t>and</w:t>
      </w:r>
      <w:r w:rsidR="002514B0">
        <w:t xml:space="preserve"> </w:t>
      </w:r>
      <w:r w:rsidRPr="003C7F6D">
        <w:t>pointed</w:t>
      </w:r>
      <w:r w:rsidR="002514B0">
        <w:t xml:space="preserve"> </w:t>
      </w:r>
      <w:r w:rsidRPr="003C7F6D">
        <w:t>to</w:t>
      </w:r>
      <w:r w:rsidR="002514B0">
        <w:t xml:space="preserve"> </w:t>
      </w:r>
      <w:r w:rsidRPr="003C7F6D">
        <w:t>portions</w:t>
      </w:r>
      <w:r w:rsidR="002514B0">
        <w:t xml:space="preserve"> </w:t>
      </w:r>
      <w:r w:rsidRPr="003C7F6D">
        <w:rPr>
          <w:spacing w:val="2"/>
        </w:rPr>
        <w:t>of</w:t>
      </w:r>
      <w:r w:rsidR="002514B0">
        <w:rPr>
          <w:spacing w:val="2"/>
        </w:rPr>
        <w:t xml:space="preserve"> </w:t>
      </w:r>
      <w:r w:rsidRPr="003C7F6D">
        <w:t>its</w:t>
      </w:r>
      <w:r w:rsidR="002514B0">
        <w:t xml:space="preserve"> </w:t>
      </w:r>
      <w:r w:rsidRPr="003C7F6D">
        <w:t>witness’</w:t>
      </w:r>
      <w:r w:rsidR="002514B0">
        <w:t xml:space="preserve"> </w:t>
      </w:r>
      <w:r w:rsidRPr="003C7F6D">
        <w:t>Direct</w:t>
      </w:r>
      <w:r w:rsidR="002514B0">
        <w:t xml:space="preserve"> </w:t>
      </w:r>
      <w:r w:rsidRPr="003C7F6D">
        <w:t>Testimony.</w:t>
      </w:r>
      <w:r w:rsidR="002514B0">
        <w:t xml:space="preserve"> </w:t>
      </w:r>
      <w:r w:rsidRPr="003C7F6D">
        <w:t>These</w:t>
      </w:r>
      <w:r w:rsidR="002514B0">
        <w:t xml:space="preserve"> </w:t>
      </w:r>
      <w:r w:rsidRPr="003C7F6D">
        <w:t>efforts</w:t>
      </w:r>
      <w:r w:rsidR="002514B0">
        <w:t xml:space="preserve"> </w:t>
      </w:r>
      <w:r w:rsidRPr="003C7F6D">
        <w:t>do</w:t>
      </w:r>
      <w:r w:rsidR="002514B0">
        <w:t xml:space="preserve"> </w:t>
      </w:r>
      <w:r w:rsidRPr="003C7F6D">
        <w:t>not</w:t>
      </w:r>
      <w:r w:rsidR="002514B0">
        <w:t xml:space="preserve"> </w:t>
      </w:r>
      <w:r w:rsidRPr="003C7F6D">
        <w:t>result</w:t>
      </w:r>
      <w:r w:rsidR="002514B0">
        <w:t xml:space="preserve"> </w:t>
      </w:r>
      <w:r w:rsidRPr="003C7F6D">
        <w:rPr>
          <w:spacing w:val="-3"/>
        </w:rPr>
        <w:t>in</w:t>
      </w:r>
      <w:r w:rsidR="002514B0">
        <w:rPr>
          <w:spacing w:val="-3"/>
        </w:rPr>
        <w:t xml:space="preserve"> </w:t>
      </w:r>
      <w:r w:rsidRPr="003C7F6D">
        <w:t>any</w:t>
      </w:r>
      <w:r w:rsidR="002514B0">
        <w:t xml:space="preserve"> </w:t>
      </w:r>
      <w:r w:rsidRPr="003C7F6D">
        <w:t>evidence</w:t>
      </w:r>
      <w:r w:rsidR="002514B0">
        <w:t xml:space="preserve"> </w:t>
      </w:r>
      <w:r w:rsidRPr="003C7F6D">
        <w:t>that</w:t>
      </w:r>
      <w:r w:rsidR="002514B0">
        <w:t xml:space="preserve"> </w:t>
      </w:r>
      <w:r w:rsidRPr="003C7F6D">
        <w:t>demonstrates</w:t>
      </w:r>
      <w:r w:rsidR="002514B0">
        <w:t xml:space="preserve"> </w:t>
      </w:r>
      <w:r w:rsidRPr="003C7F6D">
        <w:t>why</w:t>
      </w:r>
      <w:r w:rsidR="002514B0">
        <w:t xml:space="preserve"> </w:t>
      </w:r>
      <w:r w:rsidRPr="003C7F6D">
        <w:t>the</w:t>
      </w:r>
      <w:r w:rsidR="002514B0">
        <w:t xml:space="preserve"> </w:t>
      </w:r>
      <w:r w:rsidRPr="003C7F6D">
        <w:t>Council</w:t>
      </w:r>
      <w:r w:rsidR="002514B0">
        <w:t xml:space="preserve"> </w:t>
      </w:r>
      <w:r w:rsidRPr="003C7F6D">
        <w:t>should</w:t>
      </w:r>
      <w:r w:rsidR="002514B0">
        <w:t xml:space="preserve"> </w:t>
      </w:r>
      <w:r w:rsidRPr="003C7F6D">
        <w:t>revisit</w:t>
      </w:r>
      <w:r w:rsidR="002514B0">
        <w:t xml:space="preserve"> </w:t>
      </w:r>
      <w:r w:rsidRPr="003C7F6D">
        <w:t>and</w:t>
      </w:r>
      <w:r w:rsidR="002514B0">
        <w:t xml:space="preserve"> </w:t>
      </w:r>
      <w:r w:rsidRPr="003C7F6D">
        <w:t>reverse</w:t>
      </w:r>
      <w:r w:rsidR="002514B0">
        <w:t xml:space="preserve"> </w:t>
      </w:r>
      <w:r w:rsidRPr="003C7F6D">
        <w:t>its</w:t>
      </w:r>
      <w:r w:rsidR="002514B0">
        <w:t xml:space="preserve"> </w:t>
      </w:r>
      <w:r w:rsidRPr="003C7F6D">
        <w:t>previous</w:t>
      </w:r>
      <w:r w:rsidR="002514B0">
        <w:t xml:space="preserve"> </w:t>
      </w:r>
      <w:r w:rsidRPr="003C7F6D">
        <w:t>determinations</w:t>
      </w:r>
      <w:r w:rsidR="002514B0">
        <w:t xml:space="preserve"> </w:t>
      </w:r>
      <w:r w:rsidRPr="003C7F6D">
        <w:t>regarding</w:t>
      </w:r>
      <w:r w:rsidR="002514B0">
        <w:t xml:space="preserve"> </w:t>
      </w:r>
      <w:r w:rsidRPr="003C7F6D">
        <w:t>the</w:t>
      </w:r>
      <w:r w:rsidR="002514B0">
        <w:t xml:space="preserve"> </w:t>
      </w:r>
      <w:r w:rsidRPr="003C7F6D">
        <w:t>merits,</w:t>
      </w:r>
      <w:r w:rsidR="002514B0">
        <w:t xml:space="preserve"> </w:t>
      </w:r>
      <w:r w:rsidRPr="003C7F6D">
        <w:rPr>
          <w:spacing w:val="2"/>
        </w:rPr>
        <w:t>or</w:t>
      </w:r>
      <w:r w:rsidR="002514B0">
        <w:rPr>
          <w:spacing w:val="2"/>
        </w:rPr>
        <w:t xml:space="preserve"> </w:t>
      </w:r>
      <w:r w:rsidRPr="003C7F6D">
        <w:rPr>
          <w:spacing w:val="-3"/>
        </w:rPr>
        <w:t>lack</w:t>
      </w:r>
      <w:r w:rsidR="002514B0">
        <w:rPr>
          <w:spacing w:val="-3"/>
        </w:rPr>
        <w:t xml:space="preserve"> </w:t>
      </w:r>
      <w:r w:rsidRPr="003C7F6D">
        <w:t>thereof,</w:t>
      </w:r>
      <w:r w:rsidR="002514B0">
        <w:t xml:space="preserve"> </w:t>
      </w:r>
      <w:r w:rsidRPr="003C7F6D">
        <w:rPr>
          <w:spacing w:val="2"/>
        </w:rPr>
        <w:t>of</w:t>
      </w:r>
      <w:r w:rsidR="002514B0">
        <w:rPr>
          <w:spacing w:val="2"/>
        </w:rPr>
        <w:t xml:space="preserve"> </w:t>
      </w:r>
      <w:r w:rsidRPr="003C7F6D">
        <w:t>the</w:t>
      </w:r>
      <w:r w:rsidR="002514B0">
        <w:t xml:space="preserve"> </w:t>
      </w:r>
      <w:r w:rsidRPr="003C7F6D">
        <w:t>CLEP</w:t>
      </w:r>
      <w:r w:rsidR="002514B0">
        <w:t xml:space="preserve"> </w:t>
      </w:r>
      <w:r w:rsidRPr="003C7F6D">
        <w:t>concept.</w:t>
      </w:r>
      <w:r w:rsidR="002514B0">
        <w:t xml:space="preserve"> </w:t>
      </w:r>
      <w:r w:rsidRPr="003C7F6D">
        <w:t>The</w:t>
      </w:r>
      <w:r w:rsidR="002514B0">
        <w:t xml:space="preserve"> </w:t>
      </w:r>
      <w:r w:rsidRPr="003C7F6D">
        <w:t>Council</w:t>
      </w:r>
      <w:r w:rsidR="002514B0">
        <w:t xml:space="preserve"> </w:t>
      </w:r>
      <w:r w:rsidRPr="003C7F6D">
        <w:t>should</w:t>
      </w:r>
      <w:r w:rsidR="002514B0">
        <w:t xml:space="preserve"> </w:t>
      </w:r>
      <w:r w:rsidRPr="003C7F6D">
        <w:t>stand</w:t>
      </w:r>
      <w:r w:rsidR="002514B0">
        <w:t xml:space="preserve"> </w:t>
      </w:r>
      <w:r w:rsidRPr="003C7F6D">
        <w:t>by</w:t>
      </w:r>
      <w:r w:rsidR="002514B0">
        <w:t xml:space="preserve"> </w:t>
      </w:r>
      <w:r w:rsidRPr="003C7F6D">
        <w:t>its</w:t>
      </w:r>
      <w:r w:rsidR="002514B0">
        <w:t xml:space="preserve"> </w:t>
      </w:r>
      <w:r w:rsidRPr="003C7F6D">
        <w:t>previous</w:t>
      </w:r>
      <w:r w:rsidR="002514B0">
        <w:t xml:space="preserve"> </w:t>
      </w:r>
      <w:r w:rsidRPr="003C7F6D">
        <w:t>determinations</w:t>
      </w:r>
      <w:r w:rsidR="002514B0">
        <w:t xml:space="preserve"> </w:t>
      </w:r>
      <w:r w:rsidRPr="003C7F6D">
        <w:t>and</w:t>
      </w:r>
      <w:r w:rsidR="002514B0">
        <w:t xml:space="preserve"> </w:t>
      </w:r>
      <w:r w:rsidRPr="003C7F6D">
        <w:t>continue</w:t>
      </w:r>
      <w:r w:rsidR="002514B0">
        <w:t xml:space="preserve"> </w:t>
      </w:r>
      <w:r w:rsidRPr="003C7F6D">
        <w:t>to</w:t>
      </w:r>
      <w:r w:rsidR="002514B0">
        <w:t xml:space="preserve"> </w:t>
      </w:r>
      <w:r w:rsidRPr="003C7F6D">
        <w:t>decline</w:t>
      </w:r>
      <w:r w:rsidR="002514B0">
        <w:t xml:space="preserve"> </w:t>
      </w:r>
      <w:r w:rsidRPr="003C7F6D">
        <w:t>the</w:t>
      </w:r>
      <w:r w:rsidR="002514B0">
        <w:t xml:space="preserve"> </w:t>
      </w:r>
      <w:r w:rsidRPr="003C7F6D">
        <w:t>invitation</w:t>
      </w:r>
      <w:r w:rsidR="002514B0">
        <w:t xml:space="preserve"> </w:t>
      </w:r>
      <w:r w:rsidRPr="003C7F6D">
        <w:t>to</w:t>
      </w:r>
      <w:r w:rsidR="002514B0">
        <w:t xml:space="preserve"> </w:t>
      </w:r>
      <w:r w:rsidRPr="003C7F6D">
        <w:t>force</w:t>
      </w:r>
      <w:r w:rsidR="002514B0">
        <w:t xml:space="preserve"> </w:t>
      </w:r>
      <w:r w:rsidRPr="003C7F6D">
        <w:t>the</w:t>
      </w:r>
      <w:r w:rsidR="002514B0">
        <w:t xml:space="preserve"> </w:t>
      </w:r>
      <w:r w:rsidRPr="003C7F6D">
        <w:t>Company</w:t>
      </w:r>
      <w:r w:rsidR="002514B0">
        <w:t xml:space="preserve"> </w:t>
      </w:r>
      <w:r w:rsidRPr="003C7F6D">
        <w:rPr>
          <w:spacing w:val="2"/>
        </w:rPr>
        <w:t>to</w:t>
      </w:r>
      <w:r w:rsidR="002514B0">
        <w:rPr>
          <w:spacing w:val="2"/>
        </w:rPr>
        <w:t xml:space="preserve"> </w:t>
      </w:r>
      <w:r w:rsidRPr="003C7F6D">
        <w:t>incur</w:t>
      </w:r>
      <w:r w:rsidR="002514B0">
        <w:t xml:space="preserve"> </w:t>
      </w:r>
      <w:r w:rsidRPr="003C7F6D">
        <w:t>unnecessary</w:t>
      </w:r>
      <w:r w:rsidR="002514B0">
        <w:t xml:space="preserve"> </w:t>
      </w:r>
      <w:r w:rsidRPr="003C7F6D">
        <w:t>costs</w:t>
      </w:r>
      <w:r w:rsidR="002514B0">
        <w:t xml:space="preserve"> </w:t>
      </w:r>
      <w:r w:rsidRPr="003C7F6D">
        <w:t>and</w:t>
      </w:r>
      <w:r w:rsidR="002514B0">
        <w:t xml:space="preserve"> </w:t>
      </w:r>
      <w:r w:rsidRPr="003C7F6D">
        <w:t>to</w:t>
      </w:r>
      <w:r w:rsidR="002514B0">
        <w:t xml:space="preserve"> </w:t>
      </w:r>
      <w:r w:rsidRPr="003C7F6D">
        <w:t>inflict</w:t>
      </w:r>
      <w:r w:rsidR="002514B0">
        <w:t xml:space="preserve"> </w:t>
      </w:r>
      <w:r w:rsidRPr="003C7F6D">
        <w:t>the</w:t>
      </w:r>
      <w:r w:rsidR="002514B0">
        <w:t xml:space="preserve"> </w:t>
      </w:r>
      <w:r w:rsidRPr="003C7F6D">
        <w:t>costs</w:t>
      </w:r>
      <w:r w:rsidR="002514B0">
        <w:t xml:space="preserve"> </w:t>
      </w:r>
      <w:r w:rsidRPr="003C7F6D">
        <w:rPr>
          <w:spacing w:val="2"/>
        </w:rPr>
        <w:t>of</w:t>
      </w:r>
      <w:r w:rsidR="002514B0">
        <w:rPr>
          <w:spacing w:val="2"/>
        </w:rPr>
        <w:t xml:space="preserve"> </w:t>
      </w:r>
      <w:r w:rsidRPr="003C7F6D">
        <w:t>the</w:t>
      </w:r>
      <w:r w:rsidR="002514B0">
        <w:t xml:space="preserve"> </w:t>
      </w:r>
      <w:r w:rsidRPr="003C7F6D">
        <w:t>CLEP</w:t>
      </w:r>
      <w:r w:rsidR="002514B0">
        <w:t xml:space="preserve"> </w:t>
      </w:r>
      <w:r w:rsidRPr="003C7F6D">
        <w:t>proposal</w:t>
      </w:r>
      <w:r w:rsidR="002514B0">
        <w:t xml:space="preserve"> </w:t>
      </w:r>
      <w:r w:rsidRPr="003C7F6D">
        <w:rPr>
          <w:spacing w:val="2"/>
        </w:rPr>
        <w:t>on</w:t>
      </w:r>
      <w:r w:rsidR="002514B0">
        <w:rPr>
          <w:spacing w:val="2"/>
        </w:rPr>
        <w:t xml:space="preserve"> </w:t>
      </w:r>
      <w:r w:rsidRPr="003C7F6D">
        <w:t>New</w:t>
      </w:r>
      <w:r w:rsidR="002514B0">
        <w:rPr>
          <w:spacing w:val="-29"/>
        </w:rPr>
        <w:t xml:space="preserve"> </w:t>
      </w:r>
      <w:r w:rsidRPr="003C7F6D">
        <w:t>Orleanians.”</w:t>
      </w:r>
    </w:p>
    <w:p w14:paraId="4BF6BE5B" w14:textId="77777777" w:rsidR="00F11127" w:rsidRPr="003C7F6D" w:rsidRDefault="00F11127" w:rsidP="003C6728"/>
    <w:p w14:paraId="00FF8422" w14:textId="190E315D" w:rsidR="00511610" w:rsidRPr="003C7F6D" w:rsidRDefault="00511610" w:rsidP="003C7F6D">
      <w:pPr>
        <w:pStyle w:val="BodyText"/>
      </w:pPr>
      <w:r w:rsidRPr="003C7F6D">
        <w:t>Every</w:t>
      </w:r>
      <w:r w:rsidR="002514B0">
        <w:t xml:space="preserve"> </w:t>
      </w:r>
      <w:r w:rsidRPr="003C7F6D">
        <w:t>aspect</w:t>
      </w:r>
      <w:r w:rsidR="002514B0">
        <w:t xml:space="preserve"> </w:t>
      </w:r>
      <w:r w:rsidRPr="003C7F6D">
        <w:t>and</w:t>
      </w:r>
      <w:r w:rsidR="002514B0">
        <w:t xml:space="preserve"> </w:t>
      </w:r>
      <w:r w:rsidRPr="003C7F6D">
        <w:t>nuance</w:t>
      </w:r>
      <w:r w:rsidR="002514B0">
        <w:t xml:space="preserve"> </w:t>
      </w:r>
      <w:r w:rsidRPr="003C7F6D">
        <w:t>of</w:t>
      </w:r>
      <w:r w:rsidR="002514B0">
        <w:t xml:space="preserve"> </w:t>
      </w:r>
      <w:r w:rsidRPr="003C7F6D">
        <w:t>these</w:t>
      </w:r>
      <w:r w:rsidR="002514B0">
        <w:t xml:space="preserve"> </w:t>
      </w:r>
      <w:r w:rsidRPr="003C7F6D">
        <w:t>negative</w:t>
      </w:r>
      <w:r w:rsidR="002514B0">
        <w:t xml:space="preserve"> </w:t>
      </w:r>
      <w:r w:rsidRPr="003C7F6D">
        <w:t>assertions</w:t>
      </w:r>
      <w:r w:rsidR="002514B0">
        <w:t xml:space="preserve"> </w:t>
      </w:r>
      <w:r w:rsidRPr="003C7F6D">
        <w:t>are</w:t>
      </w:r>
      <w:r w:rsidR="002514B0">
        <w:t xml:space="preserve"> </w:t>
      </w:r>
      <w:r w:rsidRPr="003C7F6D">
        <w:t>fully</w:t>
      </w:r>
      <w:r w:rsidR="002514B0">
        <w:t xml:space="preserve"> </w:t>
      </w:r>
      <w:r w:rsidRPr="003C7F6D">
        <w:t>rebutted</w:t>
      </w:r>
      <w:r w:rsidR="002514B0">
        <w:t xml:space="preserve"> </w:t>
      </w:r>
      <w:r w:rsidRPr="003C7F6D">
        <w:t>in</w:t>
      </w:r>
      <w:r w:rsidR="002514B0">
        <w:t xml:space="preserve"> </w:t>
      </w:r>
      <w:hyperlink w:anchor="_Appendix_2._SURREBUTTAL" w:history="1">
        <w:r w:rsidR="001C7AB1" w:rsidRPr="00D7690A">
          <w:rPr>
            <w:rStyle w:val="Hyperlink"/>
          </w:rPr>
          <w:t>Appendix</w:t>
        </w:r>
        <w:r w:rsidR="002514B0" w:rsidRPr="00D7690A">
          <w:rPr>
            <w:rStyle w:val="Hyperlink"/>
          </w:rPr>
          <w:t xml:space="preserve"> </w:t>
        </w:r>
        <w:r w:rsidR="001C7AB1" w:rsidRPr="00D7690A">
          <w:rPr>
            <w:rStyle w:val="Hyperlink"/>
          </w:rPr>
          <w:t>2</w:t>
        </w:r>
      </w:hyperlink>
      <w:r w:rsidRPr="003C7F6D">
        <w:t>.</w:t>
      </w:r>
      <w:r w:rsidR="002514B0">
        <w:t xml:space="preserve"> </w:t>
      </w:r>
      <w:r w:rsidRPr="003C7F6D">
        <w:t>Rebuttal</w:t>
      </w:r>
      <w:r w:rsidR="002514B0">
        <w:t xml:space="preserve"> </w:t>
      </w:r>
      <w:r w:rsidRPr="003C7F6D">
        <w:t>Testimony</w:t>
      </w:r>
      <w:r w:rsidR="002514B0">
        <w:t xml:space="preserve"> </w:t>
      </w:r>
      <w:r w:rsidRPr="003C7F6D">
        <w:t>of</w:t>
      </w:r>
      <w:r w:rsidR="002514B0">
        <w:t xml:space="preserve"> </w:t>
      </w:r>
      <w:r w:rsidRPr="003C7F6D">
        <w:t>Myron</w:t>
      </w:r>
      <w:r w:rsidR="002514B0">
        <w:t xml:space="preserve"> </w:t>
      </w:r>
      <w:r w:rsidRPr="003C7F6D">
        <w:t>Katz,</w:t>
      </w:r>
      <w:r w:rsidR="002514B0">
        <w:t xml:space="preserve"> </w:t>
      </w:r>
      <w:r w:rsidRPr="003C7F6D">
        <w:t>PhD.</w:t>
      </w:r>
      <w:r w:rsidR="002514B0">
        <w:t xml:space="preserve"> </w:t>
      </w:r>
      <w:r w:rsidRPr="003C7F6D">
        <w:t>CNO</w:t>
      </w:r>
      <w:r w:rsidR="002514B0">
        <w:t xml:space="preserve"> </w:t>
      </w:r>
      <w:r w:rsidRPr="003C7F6D">
        <w:t>Docket</w:t>
      </w:r>
      <w:r w:rsidR="002514B0">
        <w:t xml:space="preserve"> </w:t>
      </w:r>
      <w:r w:rsidRPr="003C7F6D">
        <w:t>No</w:t>
      </w:r>
      <w:r w:rsidR="002514B0">
        <w:t xml:space="preserve"> </w:t>
      </w:r>
      <w:r w:rsidRPr="003C7F6D">
        <w:t>UD-18-07.</w:t>
      </w:r>
      <w:r w:rsidR="002514B0">
        <w:t xml:space="preserve"> </w:t>
      </w:r>
      <w:r w:rsidRPr="003C7F6D">
        <w:t>April</w:t>
      </w:r>
      <w:r w:rsidR="002514B0">
        <w:t xml:space="preserve"> </w:t>
      </w:r>
      <w:r w:rsidRPr="003C7F6D">
        <w:t>25,</w:t>
      </w:r>
      <w:r w:rsidR="002514B0">
        <w:t xml:space="preserve"> </w:t>
      </w:r>
      <w:r w:rsidRPr="003C7F6D">
        <w:t>2019</w:t>
      </w:r>
      <w:r w:rsidR="0049455B">
        <w:t>. However, we believe that ENO’s constructive participation in the proposed Load Flexibility Working Group would help answer some of the key design issues and impacts of CLEP raised by both ENO and the Council’s Advisors.</w:t>
      </w:r>
    </w:p>
    <w:p w14:paraId="7F78C6EF" w14:textId="774D314E" w:rsidR="00511610" w:rsidRPr="003C7F6D" w:rsidRDefault="00511610" w:rsidP="001C7AB1">
      <w:pPr>
        <w:pStyle w:val="Heading2"/>
        <w:rPr>
          <w:i/>
        </w:rPr>
      </w:pPr>
      <w:bookmarkStart w:id="43" w:name="_Toc16090429"/>
      <w:bookmarkStart w:id="44" w:name="_Toc16165401"/>
      <w:bookmarkStart w:id="45" w:name="_Toc16317728"/>
      <w:bookmarkStart w:id="46" w:name="_Toc16254892"/>
      <w:r w:rsidRPr="003C7F6D">
        <w:lastRenderedPageBreak/>
        <w:t>Advisors</w:t>
      </w:r>
      <w:r w:rsidR="002514B0">
        <w:t xml:space="preserve"> </w:t>
      </w:r>
      <w:r w:rsidR="00C16D76">
        <w:t>d</w:t>
      </w:r>
      <w:r w:rsidR="00484403" w:rsidRPr="002D6F19">
        <w:t>iscourage</w:t>
      </w:r>
      <w:r w:rsidR="002514B0">
        <w:t xml:space="preserve"> </w:t>
      </w:r>
      <w:r w:rsidR="00484403" w:rsidRPr="003C7F6D">
        <w:t>use</w:t>
      </w:r>
      <w:r w:rsidR="002514B0">
        <w:t xml:space="preserve"> </w:t>
      </w:r>
      <w:r w:rsidR="00484403" w:rsidRPr="003C7F6D">
        <w:t>of</w:t>
      </w:r>
      <w:r w:rsidR="002514B0">
        <w:t xml:space="preserve"> </w:t>
      </w:r>
      <w:r w:rsidR="00484403" w:rsidRPr="003C7F6D">
        <w:t>CLEP</w:t>
      </w:r>
      <w:r w:rsidRPr="003C7F6D">
        <w:rPr>
          <w:i/>
        </w:rPr>
        <w:t>.</w:t>
      </w:r>
      <w:bookmarkEnd w:id="43"/>
      <w:bookmarkEnd w:id="44"/>
      <w:bookmarkEnd w:id="45"/>
      <w:bookmarkEnd w:id="46"/>
    </w:p>
    <w:p w14:paraId="3327D46E" w14:textId="179A2352" w:rsidR="00511610" w:rsidRPr="003C7F6D" w:rsidRDefault="00511610" w:rsidP="00511610">
      <w:pPr>
        <w:pStyle w:val="BodyText"/>
      </w:pPr>
      <w:r w:rsidRPr="003C7F6D">
        <w:t>BSI</w:t>
      </w:r>
      <w:r w:rsidR="002514B0">
        <w:t xml:space="preserve"> </w:t>
      </w:r>
      <w:r w:rsidRPr="003C7F6D">
        <w:t>notes</w:t>
      </w:r>
      <w:r w:rsidR="002514B0">
        <w:t xml:space="preserve"> </w:t>
      </w:r>
      <w:r w:rsidRPr="003C7F6D">
        <w:t>that</w:t>
      </w:r>
      <w:r w:rsidR="002514B0">
        <w:t xml:space="preserve"> </w:t>
      </w:r>
      <w:r w:rsidRPr="003C7F6D">
        <w:t>the</w:t>
      </w:r>
      <w:r w:rsidR="002514B0">
        <w:t xml:space="preserve"> </w:t>
      </w:r>
      <w:r w:rsidRPr="003C7F6D">
        <w:t>Advisors’</w:t>
      </w:r>
      <w:r w:rsidR="002514B0">
        <w:t xml:space="preserve"> </w:t>
      </w:r>
      <w:r w:rsidRPr="003C7F6D">
        <w:t>description</w:t>
      </w:r>
      <w:r w:rsidR="002514B0">
        <w:t xml:space="preserve"> </w:t>
      </w:r>
      <w:r w:rsidRPr="003C7F6D">
        <w:t>of</w:t>
      </w:r>
      <w:r w:rsidR="002514B0">
        <w:t xml:space="preserve"> </w:t>
      </w:r>
      <w:r w:rsidRPr="003C7F6D">
        <w:t>CLEP</w:t>
      </w:r>
      <w:r w:rsidR="0000430D">
        <w:t>,</w:t>
      </w:r>
      <w:r w:rsidR="002514B0">
        <w:t xml:space="preserve"> </w:t>
      </w:r>
      <w:r w:rsidRPr="003C7F6D">
        <w:t>as</w:t>
      </w:r>
      <w:r w:rsidR="002514B0">
        <w:t xml:space="preserve"> </w:t>
      </w:r>
      <w:r w:rsidRPr="003C7F6D">
        <w:t>quoted</w:t>
      </w:r>
      <w:r w:rsidR="002514B0">
        <w:t xml:space="preserve"> </w:t>
      </w:r>
      <w:r w:rsidRPr="003C7F6D">
        <w:t>from</w:t>
      </w:r>
      <w:r w:rsidR="002514B0">
        <w:t xml:space="preserve"> </w:t>
      </w:r>
      <w:r w:rsidRPr="003C7F6D">
        <w:t>BSI’s</w:t>
      </w:r>
      <w:r w:rsidR="002514B0">
        <w:t xml:space="preserve"> </w:t>
      </w:r>
      <w:r w:rsidRPr="003C7F6D">
        <w:t>direct</w:t>
      </w:r>
      <w:r w:rsidR="002514B0">
        <w:t xml:space="preserve"> </w:t>
      </w:r>
      <w:r w:rsidRPr="003C7F6D">
        <w:t>testimony</w:t>
      </w:r>
      <w:r w:rsidR="0000430D">
        <w:t>,</w:t>
      </w:r>
      <w:r w:rsidR="002514B0">
        <w:t xml:space="preserve"> </w:t>
      </w:r>
      <w:r w:rsidRPr="003C7F6D">
        <w:t>is</w:t>
      </w:r>
      <w:r w:rsidR="002514B0">
        <w:t xml:space="preserve"> </w:t>
      </w:r>
      <w:r w:rsidRPr="003C7F6D">
        <w:t>accurate,</w:t>
      </w:r>
      <w:r w:rsidR="002514B0">
        <w:t xml:space="preserve"> </w:t>
      </w:r>
      <w:r w:rsidRPr="003C7F6D">
        <w:t>reasonably</w:t>
      </w:r>
      <w:r w:rsidR="002514B0">
        <w:t xml:space="preserve"> </w:t>
      </w:r>
      <w:r w:rsidRPr="003C7F6D">
        <w:t>inclusive</w:t>
      </w:r>
      <w:r w:rsidR="0000430D">
        <w:t>,</w:t>
      </w:r>
      <w:r w:rsidR="002514B0">
        <w:t xml:space="preserve"> </w:t>
      </w:r>
      <w:r w:rsidRPr="003C7F6D">
        <w:t>and</w:t>
      </w:r>
      <w:r w:rsidR="002514B0">
        <w:t xml:space="preserve"> </w:t>
      </w:r>
      <w:r w:rsidRPr="003C7F6D">
        <w:t>not</w:t>
      </w:r>
      <w:r w:rsidR="002514B0">
        <w:t xml:space="preserve"> </w:t>
      </w:r>
      <w:r w:rsidRPr="003C7F6D">
        <w:t>misleading</w:t>
      </w:r>
      <w:r w:rsidR="0000430D">
        <w:t>,</w:t>
      </w:r>
      <w:r w:rsidR="002514B0">
        <w:t xml:space="preserve"> </w:t>
      </w:r>
      <w:r w:rsidRPr="003C7F6D">
        <w:t>for</w:t>
      </w:r>
      <w:r w:rsidR="002514B0">
        <w:t xml:space="preserve"> </w:t>
      </w:r>
      <w:r w:rsidRPr="003C7F6D">
        <w:t>nine</w:t>
      </w:r>
      <w:r w:rsidR="002514B0">
        <w:t xml:space="preserve"> </w:t>
      </w:r>
      <w:r w:rsidRPr="003C7F6D">
        <w:t>sentences</w:t>
      </w:r>
      <w:r w:rsidR="002514B0">
        <w:t xml:space="preserve"> </w:t>
      </w:r>
      <w:r w:rsidRPr="003C7F6D">
        <w:t>starting</w:t>
      </w:r>
      <w:r w:rsidR="002514B0">
        <w:t xml:space="preserve"> </w:t>
      </w:r>
      <w:r w:rsidRPr="003C7F6D">
        <w:t>on</w:t>
      </w:r>
      <w:r w:rsidR="002514B0">
        <w:t xml:space="preserve"> </w:t>
      </w:r>
      <w:r w:rsidRPr="003C7F6D">
        <w:t>page</w:t>
      </w:r>
      <w:r w:rsidR="002514B0">
        <w:t xml:space="preserve"> </w:t>
      </w:r>
      <w:r w:rsidRPr="003C7F6D">
        <w:t>121</w:t>
      </w:r>
      <w:r w:rsidR="0000430D">
        <w:t xml:space="preserve">. </w:t>
      </w:r>
      <w:r w:rsidR="00F3270C">
        <w:t>However,</w:t>
      </w:r>
      <w:r w:rsidR="00F3270C" w:rsidRPr="003C7F6D">
        <w:t xml:space="preserve"> on</w:t>
      </w:r>
      <w:r w:rsidR="002514B0">
        <w:t xml:space="preserve"> </w:t>
      </w:r>
      <w:r w:rsidRPr="003C7F6D">
        <w:t>page</w:t>
      </w:r>
      <w:r w:rsidR="002514B0">
        <w:t xml:space="preserve"> </w:t>
      </w:r>
      <w:r w:rsidRPr="003C7F6D">
        <w:t>122</w:t>
      </w:r>
      <w:r w:rsidR="0000430D">
        <w:t>,</w:t>
      </w:r>
      <w:r w:rsidR="002514B0">
        <w:t xml:space="preserve"> </w:t>
      </w:r>
      <w:r w:rsidR="001E79D4" w:rsidRPr="003C7F6D">
        <w:t>the</w:t>
      </w:r>
      <w:r w:rsidR="002514B0">
        <w:t xml:space="preserve"> </w:t>
      </w:r>
      <w:r w:rsidR="001E79D4" w:rsidRPr="003C7F6D">
        <w:t>Advisors</w:t>
      </w:r>
      <w:r w:rsidR="002514B0">
        <w:t xml:space="preserve"> </w:t>
      </w:r>
      <w:r w:rsidR="001E79D4" w:rsidRPr="003C7F6D">
        <w:t>incorrectly</w:t>
      </w:r>
      <w:r w:rsidR="002514B0">
        <w:t xml:space="preserve"> </w:t>
      </w:r>
      <w:r w:rsidR="001E79D4" w:rsidRPr="003C7F6D">
        <w:t>state</w:t>
      </w:r>
      <w:r w:rsidRPr="003C7F6D">
        <w:t>:</w:t>
      </w:r>
    </w:p>
    <w:p w14:paraId="1A0D5C6D" w14:textId="2148E9F2" w:rsidR="00511610" w:rsidRPr="003C7F6D" w:rsidRDefault="00511610" w:rsidP="003C7F6D">
      <w:pPr>
        <w:pStyle w:val="Quote"/>
      </w:pPr>
      <w:r w:rsidRPr="003C7F6D">
        <w:t>“BSI</w:t>
      </w:r>
      <w:r w:rsidR="002514B0">
        <w:t xml:space="preserve"> </w:t>
      </w:r>
      <w:r w:rsidRPr="003C7F6D">
        <w:t>states</w:t>
      </w:r>
      <w:r w:rsidR="002514B0">
        <w:t xml:space="preserve"> </w:t>
      </w:r>
      <w:r w:rsidRPr="003C7F6D">
        <w:t>that</w:t>
      </w:r>
      <w:r w:rsidR="002514B0">
        <w:t xml:space="preserve"> </w:t>
      </w:r>
      <w:r w:rsidRPr="003C7F6D">
        <w:t>the</w:t>
      </w:r>
      <w:r w:rsidR="002514B0">
        <w:t xml:space="preserve"> </w:t>
      </w:r>
      <w:r w:rsidRPr="003C7F6D">
        <w:t>impact</w:t>
      </w:r>
      <w:r w:rsidR="002514B0">
        <w:t xml:space="preserve"> </w:t>
      </w:r>
      <w:r w:rsidRPr="003C7F6D">
        <w:t>on</w:t>
      </w:r>
      <w:r w:rsidR="002514B0">
        <w:t xml:space="preserve"> </w:t>
      </w:r>
      <w:r w:rsidRPr="003C7F6D">
        <w:t>other</w:t>
      </w:r>
      <w:r w:rsidR="002514B0">
        <w:t xml:space="preserve"> </w:t>
      </w:r>
      <w:r w:rsidRPr="003C7F6D">
        <w:t>customers</w:t>
      </w:r>
      <w:r w:rsidR="002514B0">
        <w:t xml:space="preserve"> </w:t>
      </w:r>
      <w:r w:rsidRPr="003C7F6D">
        <w:t>of</w:t>
      </w:r>
      <w:r w:rsidR="002514B0">
        <w:t xml:space="preserve"> </w:t>
      </w:r>
      <w:r w:rsidRPr="003C7F6D">
        <w:t>the</w:t>
      </w:r>
      <w:r w:rsidR="002514B0">
        <w:t xml:space="preserve"> </w:t>
      </w:r>
      <w:r w:rsidRPr="003C7F6D">
        <w:t>CLEP</w:t>
      </w:r>
      <w:r w:rsidR="002514B0">
        <w:t xml:space="preserve"> </w:t>
      </w:r>
      <w:r w:rsidRPr="003C7F6D">
        <w:t>rate</w:t>
      </w:r>
      <w:r w:rsidR="002514B0">
        <w:t xml:space="preserve"> </w:t>
      </w:r>
      <w:r w:rsidRPr="003C7F6D">
        <w:t>is</w:t>
      </w:r>
      <w:r w:rsidR="002514B0">
        <w:t xml:space="preserve"> </w:t>
      </w:r>
      <w:r w:rsidRPr="003C7F6D">
        <w:t>mitigated</w:t>
      </w:r>
      <w:r w:rsidR="002514B0">
        <w:t xml:space="preserve"> </w:t>
      </w:r>
      <w:r w:rsidRPr="003C7F6D">
        <w:rPr>
          <w:spacing w:val="2"/>
        </w:rPr>
        <w:t>by</w:t>
      </w:r>
      <w:r w:rsidR="002514B0">
        <w:rPr>
          <w:spacing w:val="2"/>
        </w:rPr>
        <w:t xml:space="preserve"> </w:t>
      </w:r>
      <w:r w:rsidRPr="003C7F6D">
        <w:t>the</w:t>
      </w:r>
      <w:r w:rsidR="002514B0">
        <w:t xml:space="preserve"> </w:t>
      </w:r>
      <w:r w:rsidRPr="003C7F6D">
        <w:t>inclusion</w:t>
      </w:r>
      <w:r w:rsidR="002514B0">
        <w:t xml:space="preserve"> </w:t>
      </w:r>
      <w:r w:rsidRPr="003C7F6D">
        <w:t>of</w:t>
      </w:r>
      <w:r w:rsidR="002514B0">
        <w:t xml:space="preserve"> </w:t>
      </w:r>
      <w:r w:rsidRPr="003C7F6D">
        <w:t>a</w:t>
      </w:r>
      <w:r w:rsidR="002514B0">
        <w:t xml:space="preserve"> </w:t>
      </w:r>
      <w:r w:rsidRPr="003C7F6D">
        <w:t>5%</w:t>
      </w:r>
      <w:r w:rsidR="002514B0">
        <w:t xml:space="preserve"> </w:t>
      </w:r>
      <w:r w:rsidRPr="003C7F6D">
        <w:t>service</w:t>
      </w:r>
      <w:r w:rsidR="002514B0">
        <w:t xml:space="preserve"> </w:t>
      </w:r>
      <w:r w:rsidRPr="003C7F6D">
        <w:t>charge</w:t>
      </w:r>
      <w:r w:rsidR="002514B0">
        <w:t xml:space="preserve"> </w:t>
      </w:r>
      <w:r w:rsidRPr="003C7F6D">
        <w:t>on</w:t>
      </w:r>
      <w:r w:rsidR="002514B0">
        <w:t xml:space="preserve"> </w:t>
      </w:r>
      <w:r w:rsidRPr="003C7F6D">
        <w:t>every</w:t>
      </w:r>
      <w:r w:rsidR="002514B0">
        <w:t xml:space="preserve"> </w:t>
      </w:r>
      <w:r w:rsidRPr="003C7F6D">
        <w:t>CLEP</w:t>
      </w:r>
      <w:r w:rsidR="002514B0">
        <w:t xml:space="preserve"> </w:t>
      </w:r>
      <w:r w:rsidRPr="003C7F6D">
        <w:t>transaction</w:t>
      </w:r>
      <w:r w:rsidR="002514B0">
        <w:t xml:space="preserve"> </w:t>
      </w:r>
      <w:r w:rsidRPr="003C7F6D">
        <w:t>and</w:t>
      </w:r>
      <w:r w:rsidR="002514B0">
        <w:t xml:space="preserve"> </w:t>
      </w:r>
      <w:r w:rsidRPr="003C7F6D">
        <w:rPr>
          <w:spacing w:val="2"/>
        </w:rPr>
        <w:t>by</w:t>
      </w:r>
      <w:r w:rsidR="002514B0">
        <w:rPr>
          <w:spacing w:val="2"/>
        </w:rPr>
        <w:t xml:space="preserve"> </w:t>
      </w:r>
      <w:r w:rsidRPr="003C7F6D">
        <w:t>the</w:t>
      </w:r>
      <w:r w:rsidR="002514B0">
        <w:t xml:space="preserve"> </w:t>
      </w:r>
      <w:r w:rsidRPr="003C7F6D">
        <w:t>fact</w:t>
      </w:r>
      <w:r w:rsidR="002514B0">
        <w:t xml:space="preserve"> </w:t>
      </w:r>
      <w:r w:rsidRPr="003C7F6D">
        <w:t>that</w:t>
      </w:r>
      <w:r w:rsidR="002514B0">
        <w:t xml:space="preserve"> </w:t>
      </w:r>
      <w:r w:rsidRPr="003C7F6D">
        <w:t>proper</w:t>
      </w:r>
      <w:r w:rsidR="002514B0">
        <w:t xml:space="preserve"> </w:t>
      </w:r>
      <w:r w:rsidRPr="003C7F6D">
        <w:t>use</w:t>
      </w:r>
      <w:r w:rsidR="002514B0">
        <w:t xml:space="preserve"> </w:t>
      </w:r>
      <w:r w:rsidRPr="003C7F6D">
        <w:t>of</w:t>
      </w:r>
      <w:r w:rsidR="002514B0">
        <w:t xml:space="preserve"> </w:t>
      </w:r>
      <w:r w:rsidRPr="003C7F6D">
        <w:t>the</w:t>
      </w:r>
      <w:r w:rsidR="002514B0">
        <w:t xml:space="preserve"> </w:t>
      </w:r>
      <w:r w:rsidRPr="003C7F6D">
        <w:t>CLEP</w:t>
      </w:r>
      <w:r w:rsidR="002514B0">
        <w:t xml:space="preserve"> </w:t>
      </w:r>
      <w:r w:rsidRPr="003C7F6D">
        <w:t>rate</w:t>
      </w:r>
      <w:r w:rsidR="002514B0">
        <w:t xml:space="preserve"> </w:t>
      </w:r>
      <w:r w:rsidRPr="003C7F6D">
        <w:t>by</w:t>
      </w:r>
      <w:r w:rsidR="002514B0">
        <w:t xml:space="preserve"> </w:t>
      </w:r>
      <w:r w:rsidRPr="003C7F6D">
        <w:t>a</w:t>
      </w:r>
      <w:r w:rsidR="002514B0">
        <w:t xml:space="preserve"> </w:t>
      </w:r>
      <w:r w:rsidRPr="003C7F6D">
        <w:t>customer</w:t>
      </w:r>
      <w:r w:rsidR="002514B0">
        <w:t xml:space="preserve"> </w:t>
      </w:r>
      <w:r w:rsidRPr="003C7F6D">
        <w:t>will</w:t>
      </w:r>
      <w:r w:rsidR="002514B0">
        <w:t xml:space="preserve"> </w:t>
      </w:r>
      <w:r w:rsidRPr="003C7F6D">
        <w:t>lower</w:t>
      </w:r>
      <w:r w:rsidR="002514B0">
        <w:t xml:space="preserve"> </w:t>
      </w:r>
      <w:r w:rsidRPr="003C7F6D">
        <w:t>the</w:t>
      </w:r>
      <w:r w:rsidR="002514B0">
        <w:t xml:space="preserve"> </w:t>
      </w:r>
      <w:r w:rsidRPr="003C7F6D">
        <w:t>average</w:t>
      </w:r>
      <w:r w:rsidR="002514B0">
        <w:t xml:space="preserve"> </w:t>
      </w:r>
      <w:r w:rsidRPr="003C7F6D">
        <w:t>cost</w:t>
      </w:r>
      <w:r w:rsidR="002514B0">
        <w:t xml:space="preserve"> </w:t>
      </w:r>
      <w:r w:rsidRPr="003C7F6D">
        <w:t>of</w:t>
      </w:r>
      <w:r w:rsidR="002514B0">
        <w:t xml:space="preserve"> </w:t>
      </w:r>
      <w:r w:rsidRPr="003C7F6D">
        <w:t>electricity</w:t>
      </w:r>
      <w:r w:rsidR="002514B0">
        <w:t xml:space="preserve"> </w:t>
      </w:r>
      <w:r w:rsidRPr="003C7F6D">
        <w:t>ENO</w:t>
      </w:r>
      <w:r w:rsidR="002514B0">
        <w:t xml:space="preserve"> </w:t>
      </w:r>
      <w:r w:rsidRPr="003C7F6D">
        <w:t>incurs,</w:t>
      </w:r>
      <w:r w:rsidR="002514B0">
        <w:t xml:space="preserve"> </w:t>
      </w:r>
      <w:r w:rsidRPr="003C7F6D">
        <w:t>while</w:t>
      </w:r>
      <w:r w:rsidR="002514B0">
        <w:t xml:space="preserve"> </w:t>
      </w:r>
      <w:r w:rsidRPr="003C7F6D">
        <w:t>a</w:t>
      </w:r>
      <w:r w:rsidR="002514B0">
        <w:t xml:space="preserve"> </w:t>
      </w:r>
      <w:r w:rsidRPr="003C7F6D">
        <w:t>CLEP</w:t>
      </w:r>
      <w:r w:rsidR="002514B0">
        <w:t xml:space="preserve"> </w:t>
      </w:r>
      <w:r w:rsidRPr="003C7F6D">
        <w:t>customer</w:t>
      </w:r>
      <w:r w:rsidR="002514B0">
        <w:t xml:space="preserve"> </w:t>
      </w:r>
      <w:r w:rsidRPr="003C7F6D">
        <w:t>that</w:t>
      </w:r>
      <w:r w:rsidR="002514B0">
        <w:t xml:space="preserve"> </w:t>
      </w:r>
      <w:r w:rsidRPr="003C7F6D">
        <w:t>fails</w:t>
      </w:r>
      <w:r w:rsidR="002514B0">
        <w:t xml:space="preserve"> </w:t>
      </w:r>
      <w:r w:rsidRPr="003C7F6D">
        <w:t>to</w:t>
      </w:r>
      <w:r w:rsidR="002514B0">
        <w:t xml:space="preserve"> </w:t>
      </w:r>
      <w:r w:rsidRPr="003C7F6D">
        <w:t>modify</w:t>
      </w:r>
      <w:r w:rsidR="002514B0">
        <w:t xml:space="preserve"> </w:t>
      </w:r>
      <w:r w:rsidRPr="003C7F6D">
        <w:t>their</w:t>
      </w:r>
      <w:r w:rsidR="002514B0">
        <w:t xml:space="preserve"> </w:t>
      </w:r>
      <w:r w:rsidRPr="003C7F6D">
        <w:t>behavior</w:t>
      </w:r>
      <w:r w:rsidR="002514B0">
        <w:t xml:space="preserve"> </w:t>
      </w:r>
      <w:r w:rsidRPr="003C7F6D">
        <w:t>and</w:t>
      </w:r>
      <w:r w:rsidR="002514B0">
        <w:t xml:space="preserve"> </w:t>
      </w:r>
      <w:r w:rsidRPr="003C7F6D">
        <w:t>makes</w:t>
      </w:r>
      <w:r w:rsidR="002514B0">
        <w:t xml:space="preserve"> </w:t>
      </w:r>
      <w:r w:rsidRPr="003C7F6D">
        <w:t>purchases</w:t>
      </w:r>
      <w:r w:rsidR="002514B0">
        <w:t xml:space="preserve"> </w:t>
      </w:r>
      <w:r w:rsidRPr="003C7F6D">
        <w:t>or</w:t>
      </w:r>
      <w:r w:rsidR="002514B0">
        <w:t xml:space="preserve"> </w:t>
      </w:r>
      <w:r w:rsidRPr="003C7F6D">
        <w:t>sales</w:t>
      </w:r>
      <w:r w:rsidR="002514B0">
        <w:t xml:space="preserve"> </w:t>
      </w:r>
      <w:r w:rsidRPr="003C7F6D">
        <w:t>at</w:t>
      </w:r>
      <w:r w:rsidR="002514B0">
        <w:t xml:space="preserve"> </w:t>
      </w:r>
      <w:r w:rsidRPr="003C7F6D">
        <w:t>the</w:t>
      </w:r>
      <w:r w:rsidR="002514B0">
        <w:t xml:space="preserve"> </w:t>
      </w:r>
      <w:r w:rsidRPr="003C7F6D">
        <w:t>wrong</w:t>
      </w:r>
      <w:r w:rsidR="002514B0">
        <w:t xml:space="preserve"> </w:t>
      </w:r>
      <w:r w:rsidRPr="003C7F6D">
        <w:t>time</w:t>
      </w:r>
      <w:r w:rsidR="002514B0">
        <w:t xml:space="preserve"> </w:t>
      </w:r>
      <w:r w:rsidRPr="003C7F6D">
        <w:t>will</w:t>
      </w:r>
      <w:r w:rsidR="002514B0">
        <w:t xml:space="preserve"> </w:t>
      </w:r>
      <w:r w:rsidRPr="003C7F6D">
        <w:t>only</w:t>
      </w:r>
      <w:r w:rsidR="002514B0">
        <w:t xml:space="preserve"> </w:t>
      </w:r>
      <w:r w:rsidRPr="003C7F6D">
        <w:t>cause</w:t>
      </w:r>
      <w:r w:rsidR="002514B0">
        <w:t xml:space="preserve"> </w:t>
      </w:r>
      <w:r w:rsidRPr="003C7F6D">
        <w:t>an</w:t>
      </w:r>
      <w:r w:rsidR="002514B0">
        <w:t xml:space="preserve"> </w:t>
      </w:r>
      <w:r w:rsidRPr="003C7F6D">
        <w:t>increase</w:t>
      </w:r>
      <w:r w:rsidR="002514B0">
        <w:t xml:space="preserve"> </w:t>
      </w:r>
      <w:r w:rsidRPr="003C7F6D">
        <w:t>in</w:t>
      </w:r>
      <w:r w:rsidR="002514B0">
        <w:t xml:space="preserve"> </w:t>
      </w:r>
      <w:r w:rsidRPr="003C7F6D">
        <w:t>their</w:t>
      </w:r>
      <w:r w:rsidR="002514B0">
        <w:t xml:space="preserve"> </w:t>
      </w:r>
      <w:r w:rsidRPr="003C7F6D">
        <w:t>own</w:t>
      </w:r>
      <w:r w:rsidR="002514B0">
        <w:t xml:space="preserve"> </w:t>
      </w:r>
      <w:r w:rsidRPr="003C7F6D">
        <w:t>electricity</w:t>
      </w:r>
      <w:r w:rsidR="002514B0">
        <w:rPr>
          <w:spacing w:val="-12"/>
        </w:rPr>
        <w:t xml:space="preserve"> </w:t>
      </w:r>
      <w:r w:rsidRPr="003C7F6D">
        <w:t>bill.</w:t>
      </w:r>
      <w:r w:rsidRPr="003C7F6D">
        <w:rPr>
          <w:position w:val="9"/>
          <w:sz w:val="16"/>
        </w:rPr>
        <w:t>”</w:t>
      </w:r>
      <w:r w:rsidR="002514B0">
        <w:rPr>
          <w:position w:val="9"/>
          <w:sz w:val="16"/>
        </w:rPr>
        <w:t xml:space="preserve"> </w:t>
      </w:r>
    </w:p>
    <w:p w14:paraId="3A2FE201" w14:textId="34BDEB81" w:rsidR="00511610" w:rsidRPr="003C7F6D" w:rsidRDefault="00511610" w:rsidP="003C7F6D">
      <w:pPr>
        <w:pStyle w:val="BodyText"/>
        <w:rPr>
          <w:sz w:val="16"/>
        </w:rPr>
      </w:pPr>
      <w:r w:rsidRPr="003C7F6D">
        <w:t>The</w:t>
      </w:r>
      <w:r w:rsidR="002514B0">
        <w:t xml:space="preserve"> </w:t>
      </w:r>
      <w:r w:rsidRPr="003C7F6D">
        <w:t>phrase</w:t>
      </w:r>
      <w:r w:rsidR="002514B0">
        <w:t xml:space="preserve"> </w:t>
      </w:r>
      <w:r w:rsidRPr="003C7F6D">
        <w:t>“</w:t>
      </w:r>
      <w:r w:rsidRPr="003C7F6D">
        <w:rPr>
          <w:b/>
          <w:bCs/>
          <w:i/>
          <w:iCs/>
        </w:rPr>
        <w:t>BSI</w:t>
      </w:r>
      <w:r w:rsidR="002514B0">
        <w:rPr>
          <w:b/>
          <w:bCs/>
          <w:i/>
          <w:iCs/>
        </w:rPr>
        <w:t xml:space="preserve"> </w:t>
      </w:r>
      <w:r w:rsidRPr="003C7F6D">
        <w:rPr>
          <w:b/>
          <w:bCs/>
          <w:i/>
          <w:iCs/>
        </w:rPr>
        <w:t>states</w:t>
      </w:r>
      <w:r w:rsidR="002514B0">
        <w:rPr>
          <w:b/>
          <w:bCs/>
          <w:i/>
          <w:iCs/>
        </w:rPr>
        <w:t xml:space="preserve"> </w:t>
      </w:r>
      <w:r w:rsidRPr="003C7F6D">
        <w:rPr>
          <w:b/>
          <w:bCs/>
          <w:i/>
          <w:iCs/>
        </w:rPr>
        <w:t>that</w:t>
      </w:r>
      <w:r w:rsidR="002514B0">
        <w:rPr>
          <w:b/>
          <w:bCs/>
          <w:i/>
          <w:iCs/>
        </w:rPr>
        <w:t xml:space="preserve"> </w:t>
      </w:r>
      <w:r w:rsidRPr="003C7F6D">
        <w:rPr>
          <w:b/>
          <w:bCs/>
          <w:i/>
          <w:iCs/>
        </w:rPr>
        <w:t>the</w:t>
      </w:r>
      <w:r w:rsidR="002514B0">
        <w:rPr>
          <w:b/>
          <w:bCs/>
          <w:i/>
          <w:iCs/>
        </w:rPr>
        <w:t xml:space="preserve"> </w:t>
      </w:r>
      <w:r w:rsidRPr="003C7F6D">
        <w:rPr>
          <w:b/>
          <w:bCs/>
          <w:i/>
          <w:iCs/>
        </w:rPr>
        <w:t>impact</w:t>
      </w:r>
      <w:r w:rsidR="002514B0">
        <w:rPr>
          <w:b/>
          <w:bCs/>
          <w:i/>
          <w:iCs/>
        </w:rPr>
        <w:t xml:space="preserve"> </w:t>
      </w:r>
      <w:r w:rsidRPr="003C7F6D">
        <w:rPr>
          <w:b/>
          <w:bCs/>
          <w:i/>
          <w:iCs/>
        </w:rPr>
        <w:t>on</w:t>
      </w:r>
      <w:r w:rsidR="002514B0">
        <w:rPr>
          <w:b/>
          <w:bCs/>
          <w:i/>
          <w:iCs/>
        </w:rPr>
        <w:t xml:space="preserve"> </w:t>
      </w:r>
      <w:r w:rsidRPr="003C7F6D">
        <w:rPr>
          <w:b/>
          <w:bCs/>
          <w:i/>
          <w:iCs/>
        </w:rPr>
        <w:t>other</w:t>
      </w:r>
      <w:r w:rsidR="002514B0">
        <w:rPr>
          <w:b/>
          <w:bCs/>
          <w:i/>
          <w:iCs/>
        </w:rPr>
        <w:t xml:space="preserve"> </w:t>
      </w:r>
      <w:r w:rsidRPr="003C7F6D">
        <w:rPr>
          <w:b/>
          <w:bCs/>
          <w:i/>
          <w:iCs/>
        </w:rPr>
        <w:t>customers</w:t>
      </w:r>
      <w:r w:rsidR="002514B0">
        <w:rPr>
          <w:b/>
          <w:bCs/>
          <w:i/>
          <w:iCs/>
        </w:rPr>
        <w:t xml:space="preserve"> </w:t>
      </w:r>
      <w:r w:rsidRPr="003C7F6D">
        <w:rPr>
          <w:b/>
          <w:bCs/>
          <w:i/>
          <w:iCs/>
        </w:rPr>
        <w:t>of</w:t>
      </w:r>
      <w:r w:rsidR="002514B0">
        <w:rPr>
          <w:b/>
          <w:bCs/>
          <w:i/>
          <w:iCs/>
        </w:rPr>
        <w:t xml:space="preserve"> </w:t>
      </w:r>
      <w:r w:rsidRPr="003C7F6D">
        <w:rPr>
          <w:b/>
          <w:bCs/>
          <w:i/>
          <w:iCs/>
        </w:rPr>
        <w:t>the</w:t>
      </w:r>
      <w:r w:rsidR="002514B0">
        <w:rPr>
          <w:b/>
          <w:bCs/>
          <w:i/>
          <w:iCs/>
        </w:rPr>
        <w:t xml:space="preserve"> </w:t>
      </w:r>
      <w:r w:rsidRPr="003C7F6D">
        <w:rPr>
          <w:b/>
          <w:bCs/>
          <w:i/>
          <w:iCs/>
        </w:rPr>
        <w:t>CLEP</w:t>
      </w:r>
      <w:r w:rsidR="002514B0">
        <w:rPr>
          <w:b/>
          <w:bCs/>
          <w:i/>
          <w:iCs/>
        </w:rPr>
        <w:t xml:space="preserve"> </w:t>
      </w:r>
      <w:r w:rsidRPr="003C7F6D">
        <w:rPr>
          <w:b/>
          <w:bCs/>
          <w:i/>
          <w:iCs/>
        </w:rPr>
        <w:t>rate</w:t>
      </w:r>
      <w:r w:rsidR="002514B0">
        <w:rPr>
          <w:b/>
          <w:bCs/>
          <w:i/>
          <w:iCs/>
        </w:rPr>
        <w:t xml:space="preserve"> </w:t>
      </w:r>
      <w:r w:rsidRPr="003C7F6D">
        <w:rPr>
          <w:b/>
          <w:bCs/>
          <w:i/>
          <w:iCs/>
        </w:rPr>
        <w:t>is</w:t>
      </w:r>
      <w:r w:rsidR="002514B0">
        <w:rPr>
          <w:b/>
          <w:bCs/>
          <w:i/>
          <w:iCs/>
        </w:rPr>
        <w:t xml:space="preserve"> </w:t>
      </w:r>
      <w:r w:rsidRPr="003C7F6D">
        <w:rPr>
          <w:b/>
          <w:bCs/>
          <w:i/>
          <w:iCs/>
        </w:rPr>
        <w:t>mitigated</w:t>
      </w:r>
      <w:r w:rsidRPr="003C7F6D">
        <w:t>”</w:t>
      </w:r>
      <w:r w:rsidR="002514B0">
        <w:t xml:space="preserve"> </w:t>
      </w:r>
      <w:r w:rsidRPr="003C7F6D">
        <w:t>strongly</w:t>
      </w:r>
      <w:r w:rsidR="002514B0">
        <w:t xml:space="preserve"> </w:t>
      </w:r>
      <w:r w:rsidRPr="003C7F6D">
        <w:t>implies</w:t>
      </w:r>
      <w:r w:rsidR="002514B0">
        <w:t xml:space="preserve"> </w:t>
      </w:r>
      <w:r w:rsidRPr="003C7F6D">
        <w:t>that</w:t>
      </w:r>
      <w:r w:rsidR="002514B0">
        <w:t xml:space="preserve"> </w:t>
      </w:r>
      <w:r w:rsidRPr="003C7F6D">
        <w:t>CLEP</w:t>
      </w:r>
      <w:r w:rsidR="002514B0">
        <w:t xml:space="preserve"> </w:t>
      </w:r>
      <w:r w:rsidRPr="003C7F6D">
        <w:t>imposes</w:t>
      </w:r>
      <w:r w:rsidR="002514B0">
        <w:t xml:space="preserve"> </w:t>
      </w:r>
      <w:r w:rsidR="00D7690A" w:rsidRPr="00D7690A">
        <w:rPr>
          <w:b/>
          <w:bCs/>
        </w:rPr>
        <w:t>some</w:t>
      </w:r>
      <w:r w:rsidR="0000430D">
        <w:rPr>
          <w:b/>
          <w:bCs/>
        </w:rPr>
        <w:t>,</w:t>
      </w:r>
      <w:r w:rsidR="00D7690A" w:rsidRPr="00D7690A">
        <w:rPr>
          <w:b/>
          <w:bCs/>
        </w:rPr>
        <w:t xml:space="preserve"> if not many</w:t>
      </w:r>
      <w:r w:rsidR="00D7690A">
        <w:t xml:space="preserve"> </w:t>
      </w:r>
      <w:r w:rsidRPr="003C7F6D">
        <w:t>costs</w:t>
      </w:r>
      <w:r w:rsidR="002514B0">
        <w:t xml:space="preserve"> </w:t>
      </w:r>
      <w:r w:rsidRPr="003C7F6D">
        <w:t>onto</w:t>
      </w:r>
      <w:r w:rsidR="002514B0">
        <w:t xml:space="preserve"> </w:t>
      </w:r>
      <w:r w:rsidRPr="003C7F6D">
        <w:t>other</w:t>
      </w:r>
      <w:r w:rsidR="002514B0">
        <w:t xml:space="preserve"> </w:t>
      </w:r>
      <w:r w:rsidRPr="003C7F6D">
        <w:t>customers.</w:t>
      </w:r>
      <w:r w:rsidR="002514B0">
        <w:t xml:space="preserve"> </w:t>
      </w:r>
      <w:r w:rsidR="0050516E">
        <w:t>T</w:t>
      </w:r>
      <w:r w:rsidRPr="003C7F6D">
        <w:t>he</w:t>
      </w:r>
      <w:r w:rsidR="002514B0">
        <w:t xml:space="preserve"> </w:t>
      </w:r>
      <w:r w:rsidR="00D7690A">
        <w:t xml:space="preserve">direct </w:t>
      </w:r>
      <w:r w:rsidRPr="003C7F6D">
        <w:t>testimony</w:t>
      </w:r>
      <w:r w:rsidR="002514B0">
        <w:t xml:space="preserve"> </w:t>
      </w:r>
      <w:r w:rsidRPr="003C7F6D">
        <w:t>as</w:t>
      </w:r>
      <w:r w:rsidR="002514B0">
        <w:t xml:space="preserve"> </w:t>
      </w:r>
      <w:r w:rsidRPr="003C7F6D">
        <w:t>well</w:t>
      </w:r>
      <w:r w:rsidR="002514B0">
        <w:t xml:space="preserve"> </w:t>
      </w:r>
      <w:r w:rsidRPr="003C7F6D">
        <w:t>as</w:t>
      </w:r>
      <w:r w:rsidR="002514B0">
        <w:t xml:space="preserve"> </w:t>
      </w:r>
      <w:r w:rsidRPr="003C7F6D">
        <w:t>the</w:t>
      </w:r>
      <w:r w:rsidR="002514B0">
        <w:t xml:space="preserve"> </w:t>
      </w:r>
      <w:r w:rsidR="00D7690A">
        <w:t>sur</w:t>
      </w:r>
      <w:r w:rsidRPr="003C7F6D">
        <w:t>rebuttal</w:t>
      </w:r>
      <w:r w:rsidR="002514B0">
        <w:t xml:space="preserve"> </w:t>
      </w:r>
      <w:r w:rsidRPr="003C7F6D">
        <w:t>testimony</w:t>
      </w:r>
      <w:r w:rsidR="002514B0">
        <w:t xml:space="preserve"> </w:t>
      </w:r>
      <w:r w:rsidRPr="003C7F6D">
        <w:t>state</w:t>
      </w:r>
      <w:r w:rsidR="002514B0">
        <w:t xml:space="preserve"> </w:t>
      </w:r>
      <w:r w:rsidRPr="003C7F6D">
        <w:t>the</w:t>
      </w:r>
      <w:r w:rsidR="002514B0">
        <w:t xml:space="preserve"> </w:t>
      </w:r>
      <w:r w:rsidR="009C6310">
        <w:t>exact</w:t>
      </w:r>
      <w:r w:rsidR="002514B0">
        <w:t xml:space="preserve"> </w:t>
      </w:r>
      <w:r w:rsidRPr="003C7F6D">
        <w:t>opposite.</w:t>
      </w:r>
      <w:r w:rsidR="002514B0">
        <w:t xml:space="preserve"> </w:t>
      </w:r>
      <w:r w:rsidRPr="003C7F6D">
        <w:t>Every</w:t>
      </w:r>
      <w:r w:rsidR="002514B0">
        <w:t xml:space="preserve"> </w:t>
      </w:r>
      <w:r w:rsidR="001E79D4" w:rsidRPr="003C7F6D">
        <w:t>proactive</w:t>
      </w:r>
      <w:r w:rsidR="002514B0">
        <w:t xml:space="preserve"> </w:t>
      </w:r>
      <w:r w:rsidRPr="003C7F6D">
        <w:t>action</w:t>
      </w:r>
      <w:r w:rsidR="002514B0">
        <w:t xml:space="preserve"> </w:t>
      </w:r>
      <w:r w:rsidRPr="003C7F6D">
        <w:t>by</w:t>
      </w:r>
      <w:r w:rsidR="002514B0">
        <w:t xml:space="preserve"> </w:t>
      </w:r>
      <w:r w:rsidRPr="003C7F6D">
        <w:t>a</w:t>
      </w:r>
      <w:r w:rsidR="002514B0">
        <w:t xml:space="preserve"> </w:t>
      </w:r>
      <w:r w:rsidRPr="003C7F6D">
        <w:t>CLEP</w:t>
      </w:r>
      <w:r w:rsidR="002514B0">
        <w:t xml:space="preserve"> </w:t>
      </w:r>
      <w:r w:rsidRPr="003C7F6D">
        <w:t>customer</w:t>
      </w:r>
      <w:r w:rsidR="002514B0">
        <w:t xml:space="preserve"> </w:t>
      </w:r>
      <w:r w:rsidR="009C6310">
        <w:t>can</w:t>
      </w:r>
      <w:r w:rsidR="002514B0">
        <w:t xml:space="preserve"> </w:t>
      </w:r>
      <w:r w:rsidR="009C6310">
        <w:t>only</w:t>
      </w:r>
      <w:r w:rsidR="002514B0">
        <w:t xml:space="preserve"> </w:t>
      </w:r>
      <w:r w:rsidR="009C6310">
        <w:t>increase</w:t>
      </w:r>
      <w:r w:rsidR="002514B0">
        <w:t xml:space="preserve"> </w:t>
      </w:r>
      <w:r w:rsidR="009C6310">
        <w:t>their</w:t>
      </w:r>
      <w:r w:rsidR="002514B0">
        <w:t xml:space="preserve"> </w:t>
      </w:r>
      <w:r w:rsidRPr="003C7F6D">
        <w:t>income</w:t>
      </w:r>
      <w:r w:rsidR="0000430D">
        <w:t>,</w:t>
      </w:r>
      <w:r w:rsidR="002514B0">
        <w:t xml:space="preserve"> </w:t>
      </w:r>
      <w:r w:rsidRPr="003C7F6D">
        <w:t>and</w:t>
      </w:r>
      <w:r w:rsidR="002514B0">
        <w:t xml:space="preserve"> </w:t>
      </w:r>
      <w:r w:rsidRPr="003C7F6D">
        <w:t>will</w:t>
      </w:r>
      <w:r w:rsidR="002514B0">
        <w:t xml:space="preserve"> </w:t>
      </w:r>
      <w:r w:rsidRPr="003C7F6D">
        <w:t>automatically</w:t>
      </w:r>
      <w:r w:rsidR="002514B0">
        <w:t xml:space="preserve"> </w:t>
      </w:r>
      <w:r w:rsidRPr="003C7F6D">
        <w:t>lower</w:t>
      </w:r>
      <w:r w:rsidR="002514B0">
        <w:t xml:space="preserve"> </w:t>
      </w:r>
      <w:r w:rsidRPr="003C7F6D">
        <w:t>the</w:t>
      </w:r>
      <w:r w:rsidR="002514B0">
        <w:t xml:space="preserve"> </w:t>
      </w:r>
      <w:r w:rsidR="00D7690A">
        <w:t>cost-of-energy</w:t>
      </w:r>
      <w:r w:rsidR="002514B0">
        <w:t xml:space="preserve"> </w:t>
      </w:r>
      <w:r w:rsidRPr="003C7F6D">
        <w:t>for</w:t>
      </w:r>
      <w:r w:rsidR="002514B0">
        <w:t xml:space="preserve"> </w:t>
      </w:r>
      <w:r w:rsidRPr="003C7F6D">
        <w:t>all</w:t>
      </w:r>
      <w:r w:rsidR="002514B0">
        <w:t xml:space="preserve"> </w:t>
      </w:r>
      <w:r w:rsidRPr="003C7F6D">
        <w:t>customers</w:t>
      </w:r>
      <w:r w:rsidR="001E79D4" w:rsidRPr="003C7F6D">
        <w:t>.</w:t>
      </w:r>
      <w:r w:rsidR="002514B0">
        <w:t xml:space="preserve"> </w:t>
      </w:r>
      <w:r w:rsidR="001E79D4" w:rsidRPr="003C7F6D">
        <w:t>CLEP</w:t>
      </w:r>
      <w:r w:rsidR="002514B0">
        <w:t xml:space="preserve"> </w:t>
      </w:r>
      <w:r w:rsidR="009C6310">
        <w:t>has</w:t>
      </w:r>
      <w:r w:rsidR="002514B0">
        <w:t xml:space="preserve"> </w:t>
      </w:r>
      <w:r w:rsidRPr="003C7F6D">
        <w:t>no</w:t>
      </w:r>
      <w:r w:rsidR="002514B0">
        <w:t xml:space="preserve"> </w:t>
      </w:r>
      <w:r w:rsidR="009C6310">
        <w:t>additional</w:t>
      </w:r>
      <w:r w:rsidR="002514B0">
        <w:t xml:space="preserve"> </w:t>
      </w:r>
      <w:r w:rsidRPr="003C7F6D">
        <w:t>impact</w:t>
      </w:r>
      <w:r w:rsidR="002514B0">
        <w:t xml:space="preserve"> </w:t>
      </w:r>
      <w:r w:rsidRPr="003C7F6D">
        <w:t>on</w:t>
      </w:r>
      <w:r w:rsidR="002514B0">
        <w:t xml:space="preserve"> </w:t>
      </w:r>
      <w:r w:rsidRPr="003C7F6D">
        <w:t>other</w:t>
      </w:r>
      <w:r w:rsidR="002514B0">
        <w:t xml:space="preserve"> </w:t>
      </w:r>
      <w:r w:rsidR="001E79D4" w:rsidRPr="003C7F6D">
        <w:t>ratepayer</w:t>
      </w:r>
      <w:r w:rsidR="009C6310">
        <w:t>’s</w:t>
      </w:r>
      <w:r w:rsidR="002514B0">
        <w:t xml:space="preserve"> </w:t>
      </w:r>
      <w:r w:rsidRPr="003C7F6D">
        <w:t>bills.</w:t>
      </w:r>
      <w:r w:rsidR="002514B0">
        <w:t xml:space="preserve"> </w:t>
      </w:r>
      <w:r w:rsidRPr="003C7F6D">
        <w:t>This</w:t>
      </w:r>
      <w:r w:rsidR="002514B0">
        <w:t xml:space="preserve"> </w:t>
      </w:r>
      <w:r w:rsidRPr="003C7F6D">
        <w:t>is</w:t>
      </w:r>
      <w:r w:rsidR="002514B0">
        <w:t xml:space="preserve"> </w:t>
      </w:r>
      <w:r w:rsidRPr="003C7F6D">
        <w:t>explained</w:t>
      </w:r>
      <w:r w:rsidR="002514B0">
        <w:t xml:space="preserve"> </w:t>
      </w:r>
      <w:r w:rsidRPr="003C7F6D">
        <w:t>in</w:t>
      </w:r>
      <w:r w:rsidR="002514B0">
        <w:t xml:space="preserve"> </w:t>
      </w:r>
      <w:hyperlink w:anchor="_Toc536708885" w:history="1">
        <w:r w:rsidRPr="003C7F6D">
          <w:t>Q11</w:t>
        </w:r>
        <w:r w:rsidR="002514B0">
          <w:t xml:space="preserve"> </w:t>
        </w:r>
        <w:r w:rsidRPr="003C7F6D">
          <w:t>….</w:t>
        </w:r>
        <w:r w:rsidR="002514B0">
          <w:t xml:space="preserve"> </w:t>
        </w:r>
        <w:r w:rsidRPr="003C7F6D">
          <w:t>HOW</w:t>
        </w:r>
        <w:r w:rsidR="002514B0">
          <w:t xml:space="preserve"> </w:t>
        </w:r>
        <w:r w:rsidRPr="003C7F6D">
          <w:t>DOES</w:t>
        </w:r>
        <w:r w:rsidR="002514B0">
          <w:t xml:space="preserve"> </w:t>
        </w:r>
        <w:r w:rsidRPr="003C7F6D">
          <w:t>CLEP</w:t>
        </w:r>
        <w:r w:rsidR="002514B0">
          <w:t xml:space="preserve"> </w:t>
        </w:r>
        <w:r w:rsidRPr="003C7F6D">
          <w:t>LOWER</w:t>
        </w:r>
        <w:r w:rsidR="002514B0">
          <w:t xml:space="preserve"> </w:t>
        </w:r>
        <w:r w:rsidRPr="003C7F6D">
          <w:t>EVERYBODY'S</w:t>
        </w:r>
        <w:r w:rsidR="002514B0">
          <w:t xml:space="preserve"> </w:t>
        </w:r>
        <w:r w:rsidRPr="003C7F6D">
          <w:t>RATES</w:t>
        </w:r>
        <w:r w:rsidR="002514B0">
          <w:t xml:space="preserve"> </w:t>
        </w:r>
        <w:r w:rsidRPr="003C7F6D">
          <w:t>…….</w:t>
        </w:r>
        <w:r w:rsidRPr="003C7F6D">
          <w:rPr>
            <w:webHidden/>
          </w:rPr>
          <w:t>22</w:t>
        </w:r>
      </w:hyperlink>
      <w:r w:rsidR="002514B0">
        <w:t xml:space="preserve"> </w:t>
      </w:r>
      <w:r w:rsidRPr="003C7F6D">
        <w:t>in</w:t>
      </w:r>
      <w:r w:rsidR="002514B0">
        <w:t xml:space="preserve"> </w:t>
      </w:r>
      <w:r w:rsidRPr="003C7F6D">
        <w:t>the</w:t>
      </w:r>
      <w:r w:rsidR="002514B0">
        <w:t xml:space="preserve"> </w:t>
      </w:r>
      <w:r w:rsidRPr="003C7F6D">
        <w:t>Direct</w:t>
      </w:r>
      <w:r w:rsidR="002514B0">
        <w:t xml:space="preserve"> </w:t>
      </w:r>
      <w:r w:rsidRPr="003C7F6D">
        <w:t>Testimony</w:t>
      </w:r>
      <w:r w:rsidR="002514B0">
        <w:t xml:space="preserve"> </w:t>
      </w:r>
      <w:r w:rsidRPr="003C7F6D">
        <w:t>and</w:t>
      </w:r>
      <w:r w:rsidR="002514B0">
        <w:t xml:space="preserve"> </w:t>
      </w:r>
      <w:r w:rsidRPr="003C7F6D">
        <w:t>is</w:t>
      </w:r>
      <w:r w:rsidR="002514B0">
        <w:t xml:space="preserve"> </w:t>
      </w:r>
      <w:r w:rsidRPr="003C7F6D">
        <w:t>referred</w:t>
      </w:r>
      <w:r w:rsidR="002514B0">
        <w:t xml:space="preserve"> </w:t>
      </w:r>
      <w:r w:rsidRPr="003C7F6D">
        <w:t>to</w:t>
      </w:r>
      <w:r w:rsidR="002514B0">
        <w:t xml:space="preserve"> </w:t>
      </w:r>
      <w:r w:rsidRPr="003C7F6D">
        <w:t>again</w:t>
      </w:r>
      <w:r w:rsidR="002514B0">
        <w:t xml:space="preserve"> </w:t>
      </w:r>
      <w:r w:rsidRPr="003C7F6D">
        <w:t>in</w:t>
      </w:r>
      <w:r w:rsidR="002514B0">
        <w:t xml:space="preserve"> </w:t>
      </w:r>
      <w:r w:rsidRPr="003C7F6D">
        <w:t>the</w:t>
      </w:r>
      <w:r w:rsidR="002514B0">
        <w:t xml:space="preserve"> </w:t>
      </w:r>
      <w:r w:rsidRPr="003C7F6D">
        <w:t>Surrebuttal</w:t>
      </w:r>
      <w:r w:rsidR="002514B0">
        <w:t xml:space="preserve"> </w:t>
      </w:r>
      <w:r w:rsidRPr="003C7F6D">
        <w:t>testimony</w:t>
      </w:r>
      <w:r w:rsidR="002514B0">
        <w:t xml:space="preserve"> </w:t>
      </w:r>
      <w:r w:rsidRPr="003C7F6D">
        <w:t>in</w:t>
      </w:r>
      <w:r w:rsidR="002514B0">
        <w:t xml:space="preserve"> </w:t>
      </w:r>
      <w:hyperlink w:anchor="_Appendix_2._SURREBUTTAL" w:history="1">
        <w:r w:rsidR="001C7AB1" w:rsidRPr="00D7690A">
          <w:rPr>
            <w:rStyle w:val="Hyperlink"/>
          </w:rPr>
          <w:t>Appendix</w:t>
        </w:r>
        <w:r w:rsidR="002514B0" w:rsidRPr="00D7690A">
          <w:rPr>
            <w:rStyle w:val="Hyperlink"/>
          </w:rPr>
          <w:t xml:space="preserve"> </w:t>
        </w:r>
        <w:r w:rsidR="001C7AB1" w:rsidRPr="00D7690A">
          <w:rPr>
            <w:rStyle w:val="Hyperlink"/>
          </w:rPr>
          <w:t>2</w:t>
        </w:r>
      </w:hyperlink>
      <w:r w:rsidRPr="003C7F6D">
        <w:t>.</w:t>
      </w:r>
    </w:p>
    <w:p w14:paraId="59FE1BB3" w14:textId="69736815" w:rsidR="00511610" w:rsidRPr="003C7F6D" w:rsidRDefault="00511610" w:rsidP="003C7F6D">
      <w:pPr>
        <w:pStyle w:val="Quote"/>
      </w:pPr>
      <w:r w:rsidRPr="003C7F6D">
        <w:t>“BSI</w:t>
      </w:r>
      <w:r w:rsidR="002514B0">
        <w:t xml:space="preserve"> </w:t>
      </w:r>
      <w:r w:rsidRPr="003C7F6D">
        <w:t>argues</w:t>
      </w:r>
      <w:r w:rsidR="002514B0">
        <w:t xml:space="preserve"> </w:t>
      </w:r>
      <w:r w:rsidRPr="003C7F6D">
        <w:t>that</w:t>
      </w:r>
      <w:r w:rsidR="002514B0">
        <w:t xml:space="preserve"> </w:t>
      </w:r>
      <w:r w:rsidRPr="003C7F6D">
        <w:t>its</w:t>
      </w:r>
      <w:r w:rsidR="002514B0">
        <w:t xml:space="preserve"> </w:t>
      </w:r>
      <w:r w:rsidRPr="003C7F6D">
        <w:t>CLEP</w:t>
      </w:r>
      <w:r w:rsidR="002514B0">
        <w:t xml:space="preserve"> </w:t>
      </w:r>
      <w:r w:rsidRPr="003C7F6D">
        <w:t>rate</w:t>
      </w:r>
      <w:r w:rsidR="002514B0">
        <w:t xml:space="preserve"> </w:t>
      </w:r>
      <w:r w:rsidRPr="003C7F6D">
        <w:t>would</w:t>
      </w:r>
      <w:r w:rsidR="002514B0">
        <w:t xml:space="preserve"> </w:t>
      </w:r>
      <w:r w:rsidRPr="003C7F6D">
        <w:t>lower</w:t>
      </w:r>
      <w:r w:rsidR="002514B0">
        <w:t xml:space="preserve"> </w:t>
      </w:r>
      <w:r w:rsidRPr="003C7F6D">
        <w:t>ENO’s</w:t>
      </w:r>
      <w:r w:rsidR="002514B0">
        <w:t xml:space="preserve"> </w:t>
      </w:r>
      <w:r w:rsidRPr="003C7F6D">
        <w:t>true</w:t>
      </w:r>
      <w:r w:rsidR="002514B0">
        <w:t xml:space="preserve"> </w:t>
      </w:r>
      <w:r w:rsidRPr="003C7F6D">
        <w:t>cost</w:t>
      </w:r>
      <w:r w:rsidR="002514B0">
        <w:t xml:space="preserve"> </w:t>
      </w:r>
      <w:r w:rsidRPr="003C7F6D">
        <w:t>of</w:t>
      </w:r>
      <w:r w:rsidR="002514B0">
        <w:t xml:space="preserve"> </w:t>
      </w:r>
      <w:r w:rsidRPr="003C7F6D">
        <w:t>service</w:t>
      </w:r>
      <w:r w:rsidR="002514B0">
        <w:t xml:space="preserve"> </w:t>
      </w:r>
      <w:r w:rsidRPr="003C7F6D">
        <w:t>to</w:t>
      </w:r>
      <w:r w:rsidR="002514B0">
        <w:t xml:space="preserve"> </w:t>
      </w:r>
      <w:r w:rsidRPr="003C7F6D">
        <w:t>supply</w:t>
      </w:r>
      <w:r w:rsidR="002514B0">
        <w:t xml:space="preserve"> </w:t>
      </w:r>
      <w:r w:rsidRPr="003C7F6D">
        <w:t>power,</w:t>
      </w:r>
      <w:r w:rsidR="002514B0">
        <w:t xml:space="preserve"> </w:t>
      </w:r>
      <w:r w:rsidRPr="003C7F6D">
        <w:t>enhance</w:t>
      </w:r>
      <w:r w:rsidR="002514B0">
        <w:t xml:space="preserve"> </w:t>
      </w:r>
      <w:r w:rsidRPr="003C7F6D">
        <w:t>reliability,</w:t>
      </w:r>
      <w:r w:rsidR="002514B0">
        <w:t xml:space="preserve"> </w:t>
      </w:r>
      <w:r w:rsidRPr="003C7F6D">
        <w:t>appropriately</w:t>
      </w:r>
      <w:r w:rsidR="002514B0">
        <w:t xml:space="preserve"> </w:t>
      </w:r>
      <w:r w:rsidRPr="003C7F6D">
        <w:t>assign</w:t>
      </w:r>
      <w:r w:rsidR="002514B0">
        <w:t xml:space="preserve"> </w:t>
      </w:r>
      <w:r w:rsidRPr="003C7F6D">
        <w:t>demand</w:t>
      </w:r>
      <w:r w:rsidR="002514B0">
        <w:t xml:space="preserve"> </w:t>
      </w:r>
      <w:r w:rsidRPr="003C7F6D">
        <w:t>charges</w:t>
      </w:r>
      <w:r w:rsidR="002514B0">
        <w:t xml:space="preserve"> </w:t>
      </w:r>
      <w:r w:rsidRPr="003C7F6D">
        <w:t>to</w:t>
      </w:r>
      <w:r w:rsidR="002514B0">
        <w:t xml:space="preserve"> </w:t>
      </w:r>
      <w:r w:rsidRPr="003C7F6D">
        <w:t>customers</w:t>
      </w:r>
      <w:r w:rsidR="002514B0">
        <w:t xml:space="preserve"> </w:t>
      </w:r>
      <w:r w:rsidRPr="003C7F6D">
        <w:t>with</w:t>
      </w:r>
      <w:r w:rsidR="002514B0">
        <w:t xml:space="preserve"> </w:t>
      </w:r>
      <w:r w:rsidRPr="003C7F6D">
        <w:t>higher</w:t>
      </w:r>
      <w:r w:rsidR="002514B0">
        <w:t xml:space="preserve"> </w:t>
      </w:r>
      <w:r w:rsidRPr="003C7F6D">
        <w:t>than</w:t>
      </w:r>
      <w:r w:rsidR="002514B0">
        <w:t xml:space="preserve"> </w:t>
      </w:r>
      <w:r w:rsidRPr="003C7F6D">
        <w:t>usual</w:t>
      </w:r>
      <w:r w:rsidR="002514B0">
        <w:t xml:space="preserve"> </w:t>
      </w:r>
      <w:r w:rsidRPr="003C7F6D">
        <w:t>demand,</w:t>
      </w:r>
      <w:r w:rsidR="002514B0">
        <w:t xml:space="preserve"> </w:t>
      </w:r>
      <w:r w:rsidRPr="003C7F6D">
        <w:t>correctly</w:t>
      </w:r>
      <w:r w:rsidR="002514B0">
        <w:t xml:space="preserve"> </w:t>
      </w:r>
      <w:r w:rsidRPr="003C7F6D">
        <w:t>reflects</w:t>
      </w:r>
      <w:r w:rsidR="002514B0">
        <w:t xml:space="preserve"> </w:t>
      </w:r>
      <w:r w:rsidRPr="003C7F6D">
        <w:t>residential</w:t>
      </w:r>
      <w:r w:rsidR="002514B0">
        <w:t xml:space="preserve"> </w:t>
      </w:r>
      <w:r w:rsidRPr="003C7F6D">
        <w:t>customers’</w:t>
      </w:r>
      <w:r w:rsidR="002514B0">
        <w:t xml:space="preserve"> </w:t>
      </w:r>
      <w:r w:rsidRPr="003C7F6D">
        <w:t>impact</w:t>
      </w:r>
      <w:r w:rsidR="002514B0">
        <w:t xml:space="preserve"> </w:t>
      </w:r>
      <w:r w:rsidRPr="003C7F6D">
        <w:t>on</w:t>
      </w:r>
      <w:r w:rsidR="002514B0">
        <w:t xml:space="preserve"> </w:t>
      </w:r>
      <w:r w:rsidRPr="003C7F6D">
        <w:t>demand</w:t>
      </w:r>
      <w:r w:rsidR="002514B0">
        <w:t xml:space="preserve"> </w:t>
      </w:r>
      <w:r w:rsidRPr="003C7F6D">
        <w:t>and</w:t>
      </w:r>
      <w:r w:rsidR="002514B0">
        <w:t xml:space="preserve"> </w:t>
      </w:r>
      <w:r w:rsidRPr="003C7F6D">
        <w:t>energy</w:t>
      </w:r>
      <w:r w:rsidR="002514B0">
        <w:t xml:space="preserve"> </w:t>
      </w:r>
      <w:r w:rsidRPr="003C7F6D">
        <w:t>use,</w:t>
      </w:r>
      <w:r w:rsidR="002514B0">
        <w:t xml:space="preserve"> </w:t>
      </w:r>
      <w:r w:rsidRPr="003C7F6D">
        <w:t>account</w:t>
      </w:r>
      <w:r w:rsidR="002514B0">
        <w:t xml:space="preserve"> </w:t>
      </w:r>
      <w:r w:rsidRPr="003C7F6D">
        <w:t>for</w:t>
      </w:r>
      <w:r w:rsidR="002514B0">
        <w:t xml:space="preserve"> </w:t>
      </w:r>
      <w:r w:rsidRPr="003C7F6D">
        <w:t>entities</w:t>
      </w:r>
      <w:r w:rsidR="002514B0">
        <w:t xml:space="preserve"> </w:t>
      </w:r>
      <w:r w:rsidRPr="003C7F6D">
        <w:t>with</w:t>
      </w:r>
      <w:r w:rsidR="002514B0">
        <w:t xml:space="preserve"> </w:t>
      </w:r>
      <w:r w:rsidRPr="003C7F6D">
        <w:t>a</w:t>
      </w:r>
      <w:r w:rsidR="002514B0">
        <w:t xml:space="preserve"> </w:t>
      </w:r>
      <w:r w:rsidRPr="003C7F6D">
        <w:t>peak</w:t>
      </w:r>
      <w:r w:rsidR="002514B0">
        <w:t xml:space="preserve"> </w:t>
      </w:r>
      <w:r w:rsidRPr="003C7F6D">
        <w:t>that</w:t>
      </w:r>
      <w:r w:rsidR="002514B0">
        <w:t xml:space="preserve"> </w:t>
      </w:r>
      <w:r w:rsidRPr="003C7F6D">
        <w:t>differs</w:t>
      </w:r>
      <w:r w:rsidR="002514B0">
        <w:t xml:space="preserve"> </w:t>
      </w:r>
      <w:r w:rsidRPr="003C7F6D">
        <w:t>from</w:t>
      </w:r>
      <w:r w:rsidR="002514B0">
        <w:t xml:space="preserve"> </w:t>
      </w:r>
      <w:r w:rsidRPr="003C7F6D">
        <w:t>ENO’s</w:t>
      </w:r>
      <w:r w:rsidR="002514B0">
        <w:t xml:space="preserve"> </w:t>
      </w:r>
      <w:r w:rsidRPr="003C7F6D">
        <w:t>peak,</w:t>
      </w:r>
      <w:r w:rsidR="002514B0">
        <w:t xml:space="preserve"> </w:t>
      </w:r>
      <w:r w:rsidRPr="003C7F6D">
        <w:t>provide</w:t>
      </w:r>
      <w:r w:rsidR="002514B0">
        <w:t xml:space="preserve"> </w:t>
      </w:r>
      <w:r w:rsidRPr="003C7F6D">
        <w:t>economic</w:t>
      </w:r>
      <w:r w:rsidR="002514B0">
        <w:t xml:space="preserve"> </w:t>
      </w:r>
      <w:r w:rsidRPr="003C7F6D">
        <w:t>benefit</w:t>
      </w:r>
      <w:r w:rsidR="002514B0">
        <w:t xml:space="preserve"> </w:t>
      </w:r>
      <w:r w:rsidRPr="003C7F6D">
        <w:t>to</w:t>
      </w:r>
      <w:r w:rsidR="002514B0">
        <w:t xml:space="preserve"> </w:t>
      </w:r>
      <w:r w:rsidRPr="003C7F6D">
        <w:t>customers</w:t>
      </w:r>
      <w:r w:rsidR="002514B0">
        <w:t xml:space="preserve"> </w:t>
      </w:r>
      <w:r w:rsidRPr="003C7F6D">
        <w:t>who</w:t>
      </w:r>
      <w:r w:rsidR="002514B0">
        <w:t xml:space="preserve"> </w:t>
      </w:r>
      <w:r w:rsidRPr="003C7F6D">
        <w:t>have</w:t>
      </w:r>
      <w:r w:rsidR="002514B0">
        <w:t xml:space="preserve"> </w:t>
      </w:r>
      <w:r w:rsidRPr="003C7F6D">
        <w:t>heavily</w:t>
      </w:r>
      <w:r w:rsidR="002514B0">
        <w:t xml:space="preserve"> </w:t>
      </w:r>
      <w:r w:rsidRPr="003C7F6D">
        <w:t>invested</w:t>
      </w:r>
      <w:r w:rsidR="002514B0">
        <w:t xml:space="preserve"> </w:t>
      </w:r>
      <w:r w:rsidRPr="003C7F6D">
        <w:t>in</w:t>
      </w:r>
      <w:r w:rsidR="002514B0">
        <w:t xml:space="preserve"> </w:t>
      </w:r>
      <w:r w:rsidRPr="003C7F6D">
        <w:t>storage,</w:t>
      </w:r>
      <w:r w:rsidR="002514B0">
        <w:t xml:space="preserve"> </w:t>
      </w:r>
      <w:r w:rsidRPr="003C7F6D">
        <w:t>provide</w:t>
      </w:r>
      <w:r w:rsidR="002514B0">
        <w:t xml:space="preserve"> </w:t>
      </w:r>
      <w:r w:rsidRPr="003C7F6D">
        <w:t>credits</w:t>
      </w:r>
      <w:r w:rsidR="002514B0">
        <w:t xml:space="preserve"> </w:t>
      </w:r>
      <w:r w:rsidRPr="003C7F6D">
        <w:t>to</w:t>
      </w:r>
      <w:r w:rsidR="002514B0">
        <w:t xml:space="preserve"> </w:t>
      </w:r>
      <w:r w:rsidRPr="003C7F6D">
        <w:t>EV</w:t>
      </w:r>
      <w:r w:rsidR="002514B0">
        <w:t xml:space="preserve"> </w:t>
      </w:r>
      <w:r w:rsidRPr="003C7F6D">
        <w:t>owners</w:t>
      </w:r>
      <w:r w:rsidR="002514B0">
        <w:t xml:space="preserve"> </w:t>
      </w:r>
      <w:r w:rsidRPr="003C7F6D">
        <w:t>who</w:t>
      </w:r>
      <w:r w:rsidR="002514B0">
        <w:t xml:space="preserve"> </w:t>
      </w:r>
      <w:r w:rsidRPr="003C7F6D">
        <w:t>charge</w:t>
      </w:r>
      <w:r w:rsidR="002514B0">
        <w:t xml:space="preserve"> </w:t>
      </w:r>
      <w:r w:rsidRPr="003C7F6D">
        <w:t>off</w:t>
      </w:r>
      <w:r w:rsidR="002514B0">
        <w:t xml:space="preserve"> </w:t>
      </w:r>
      <w:r w:rsidRPr="003C7F6D">
        <w:t>peak,</w:t>
      </w:r>
      <w:r w:rsidR="002514B0">
        <w:t xml:space="preserve"> </w:t>
      </w:r>
      <w:r w:rsidRPr="003C7F6D">
        <w:t>provide</w:t>
      </w:r>
      <w:r w:rsidR="002514B0">
        <w:t xml:space="preserve"> </w:t>
      </w:r>
      <w:r w:rsidRPr="003C7F6D">
        <w:t>a</w:t>
      </w:r>
      <w:r w:rsidR="002514B0">
        <w:t xml:space="preserve"> </w:t>
      </w:r>
      <w:r w:rsidRPr="003C7F6D">
        <w:t>financial</w:t>
      </w:r>
      <w:r w:rsidR="002514B0">
        <w:t xml:space="preserve"> </w:t>
      </w:r>
      <w:r w:rsidRPr="003C7F6D">
        <w:t>incentive</w:t>
      </w:r>
      <w:r w:rsidR="002514B0">
        <w:t xml:space="preserve"> </w:t>
      </w:r>
      <w:r w:rsidRPr="003C7F6D">
        <w:t>to</w:t>
      </w:r>
      <w:r w:rsidR="002514B0">
        <w:t xml:space="preserve"> </w:t>
      </w:r>
      <w:r w:rsidRPr="003C7F6D">
        <w:t>install</w:t>
      </w:r>
      <w:r w:rsidR="002514B0">
        <w:t xml:space="preserve"> </w:t>
      </w:r>
      <w:r w:rsidRPr="003C7F6D">
        <w:t>batteries,</w:t>
      </w:r>
      <w:r w:rsidR="002514B0">
        <w:t xml:space="preserve"> </w:t>
      </w:r>
      <w:r w:rsidRPr="003C7F6D">
        <w:t>and</w:t>
      </w:r>
      <w:r w:rsidR="002514B0">
        <w:t xml:space="preserve"> </w:t>
      </w:r>
      <w:r w:rsidRPr="003C7F6D">
        <w:t>generally</w:t>
      </w:r>
      <w:r w:rsidR="002514B0">
        <w:t xml:space="preserve"> </w:t>
      </w:r>
      <w:r w:rsidRPr="003C7F6D">
        <w:t>cause</w:t>
      </w:r>
      <w:r w:rsidR="002514B0">
        <w:t xml:space="preserve"> </w:t>
      </w:r>
      <w:r w:rsidRPr="003C7F6D">
        <w:t>customers</w:t>
      </w:r>
      <w:r w:rsidR="002514B0">
        <w:t xml:space="preserve"> </w:t>
      </w:r>
      <w:r w:rsidRPr="003C7F6D">
        <w:t>to</w:t>
      </w:r>
      <w:r w:rsidR="002514B0">
        <w:t xml:space="preserve"> </w:t>
      </w:r>
      <w:r w:rsidRPr="003C7F6D">
        <w:t>make</w:t>
      </w:r>
      <w:r w:rsidR="002514B0">
        <w:t xml:space="preserve"> </w:t>
      </w:r>
      <w:r w:rsidRPr="003C7F6D">
        <w:t>choices</w:t>
      </w:r>
      <w:r w:rsidR="002514B0">
        <w:t xml:space="preserve"> </w:t>
      </w:r>
      <w:r w:rsidRPr="003C7F6D">
        <w:t>that</w:t>
      </w:r>
      <w:r w:rsidR="002514B0">
        <w:t xml:space="preserve"> </w:t>
      </w:r>
      <w:r w:rsidRPr="003C7F6D">
        <w:t>will</w:t>
      </w:r>
      <w:r w:rsidR="002514B0">
        <w:t xml:space="preserve"> </w:t>
      </w:r>
      <w:r w:rsidRPr="003C7F6D">
        <w:t>lower</w:t>
      </w:r>
      <w:r w:rsidR="002514B0">
        <w:t xml:space="preserve"> </w:t>
      </w:r>
      <w:r w:rsidRPr="003C7F6D">
        <w:t>demand.”</w:t>
      </w:r>
      <w:r w:rsidR="00CB13BA" w:rsidRPr="003C7F6D">
        <w:rPr>
          <w:rStyle w:val="FootnoteReference"/>
        </w:rPr>
        <w:footnoteReference w:id="10"/>
      </w:r>
    </w:p>
    <w:p w14:paraId="04798BFB" w14:textId="77777777" w:rsidR="00511610" w:rsidRPr="003C7F6D" w:rsidRDefault="00511610" w:rsidP="00511610">
      <w:pPr>
        <w:pStyle w:val="BodyText"/>
        <w:ind w:left="990" w:right="1160" w:firstLine="540"/>
      </w:pPr>
    </w:p>
    <w:p w14:paraId="45FBC984" w14:textId="4A9F74BA" w:rsidR="00511610" w:rsidRPr="003C7F6D" w:rsidRDefault="00511610" w:rsidP="00511610">
      <w:pPr>
        <w:pStyle w:val="BodyText"/>
        <w:ind w:right="-10"/>
      </w:pPr>
      <w:r w:rsidRPr="003C7F6D">
        <w:lastRenderedPageBreak/>
        <w:t>Although</w:t>
      </w:r>
      <w:r w:rsidR="002514B0">
        <w:t xml:space="preserve"> </w:t>
      </w:r>
      <w:r w:rsidRPr="003C7F6D">
        <w:t>these</w:t>
      </w:r>
      <w:r w:rsidR="002514B0">
        <w:t xml:space="preserve"> </w:t>
      </w:r>
      <w:r w:rsidRPr="003C7F6D">
        <w:t>assertions</w:t>
      </w:r>
      <w:r w:rsidR="002514B0">
        <w:t xml:space="preserve"> </w:t>
      </w:r>
      <w:r w:rsidRPr="003C7F6D">
        <w:t>are</w:t>
      </w:r>
      <w:r w:rsidR="002514B0">
        <w:t xml:space="preserve"> </w:t>
      </w:r>
      <w:r w:rsidRPr="003C7F6D">
        <w:t>correct,</w:t>
      </w:r>
      <w:r w:rsidR="002514B0">
        <w:t xml:space="preserve"> </w:t>
      </w:r>
      <w:r w:rsidRPr="003C7F6D">
        <w:t>they</w:t>
      </w:r>
      <w:r w:rsidR="002514B0">
        <w:t xml:space="preserve"> </w:t>
      </w:r>
      <w:r w:rsidR="002E09B7">
        <w:t>only</w:t>
      </w:r>
      <w:r w:rsidR="002514B0">
        <w:t xml:space="preserve"> </w:t>
      </w:r>
      <w:r w:rsidR="002E09B7">
        <w:t>reflect</w:t>
      </w:r>
      <w:r w:rsidR="002514B0">
        <w:t xml:space="preserve"> </w:t>
      </w:r>
      <w:r w:rsidR="002E09B7">
        <w:t>about</w:t>
      </w:r>
      <w:r w:rsidR="002514B0">
        <w:t xml:space="preserve"> </w:t>
      </w:r>
      <w:r w:rsidRPr="003C7F6D">
        <w:t>10</w:t>
      </w:r>
      <w:r w:rsidR="002514B0">
        <w:t xml:space="preserve"> </w:t>
      </w:r>
      <w:r w:rsidRPr="003C7F6D">
        <w:t>to</w:t>
      </w:r>
      <w:r w:rsidR="002514B0">
        <w:t xml:space="preserve"> </w:t>
      </w:r>
      <w:r w:rsidRPr="003C7F6D">
        <w:t>20%</w:t>
      </w:r>
      <w:r w:rsidR="002514B0">
        <w:t xml:space="preserve"> </w:t>
      </w:r>
      <w:r w:rsidRPr="003C7F6D">
        <w:t>of</w:t>
      </w:r>
      <w:r w:rsidR="002514B0">
        <w:t xml:space="preserve"> </w:t>
      </w:r>
      <w:r w:rsidRPr="003C7F6D">
        <w:t>the</w:t>
      </w:r>
      <w:r w:rsidR="002514B0">
        <w:t xml:space="preserve"> </w:t>
      </w:r>
      <w:r w:rsidRPr="003C7F6D">
        <w:t>potential</w:t>
      </w:r>
      <w:r w:rsidR="002514B0">
        <w:t xml:space="preserve"> </w:t>
      </w:r>
      <w:r w:rsidRPr="003C7F6D">
        <w:t>benefits</w:t>
      </w:r>
      <w:r w:rsidR="002514B0">
        <w:t xml:space="preserve"> </w:t>
      </w:r>
      <w:r w:rsidRPr="003C7F6D">
        <w:t>of</w:t>
      </w:r>
      <w:r w:rsidR="002514B0">
        <w:t xml:space="preserve"> </w:t>
      </w:r>
      <w:r w:rsidRPr="003C7F6D">
        <w:t>CLEP</w:t>
      </w:r>
      <w:r w:rsidR="0000430D">
        <w:t>,</w:t>
      </w:r>
      <w:r w:rsidR="002514B0">
        <w:t xml:space="preserve"> </w:t>
      </w:r>
      <w:r w:rsidRPr="003C7F6D">
        <w:t>as</w:t>
      </w:r>
      <w:r w:rsidR="002514B0">
        <w:t xml:space="preserve"> </w:t>
      </w:r>
      <w:r w:rsidRPr="003C7F6D">
        <w:t>explained</w:t>
      </w:r>
      <w:r w:rsidR="002514B0">
        <w:t xml:space="preserve"> </w:t>
      </w:r>
      <w:r w:rsidRPr="003C7F6D">
        <w:t>in</w:t>
      </w:r>
      <w:r w:rsidR="002514B0">
        <w:t xml:space="preserve"> </w:t>
      </w:r>
      <w:r w:rsidRPr="003C7F6D">
        <w:t>BSI’s</w:t>
      </w:r>
      <w:r w:rsidR="002514B0">
        <w:t xml:space="preserve"> </w:t>
      </w:r>
      <w:r w:rsidRPr="003C7F6D">
        <w:t>brief.</w:t>
      </w:r>
      <w:r w:rsidR="002514B0">
        <w:t xml:space="preserve"> </w:t>
      </w:r>
      <w:r w:rsidRPr="003C7F6D">
        <w:t>Notably</w:t>
      </w:r>
      <w:r w:rsidR="002514B0">
        <w:t xml:space="preserve"> </w:t>
      </w:r>
      <w:r w:rsidRPr="003C7F6D">
        <w:t>missing</w:t>
      </w:r>
      <w:r w:rsidR="002514B0">
        <w:t xml:space="preserve"> </w:t>
      </w:r>
      <w:r w:rsidR="004836EA">
        <w:t>CLEP</w:t>
      </w:r>
      <w:r w:rsidR="002514B0">
        <w:t xml:space="preserve"> </w:t>
      </w:r>
      <w:r w:rsidR="004836EA">
        <w:t>benefits</w:t>
      </w:r>
      <w:r w:rsidR="002514B0">
        <w:t xml:space="preserve"> </w:t>
      </w:r>
      <w:r w:rsidRPr="003C7F6D">
        <w:t>are</w:t>
      </w:r>
      <w:r w:rsidR="002514B0">
        <w:t xml:space="preserve"> </w:t>
      </w:r>
      <w:r w:rsidRPr="003C7F6D">
        <w:t>1)</w:t>
      </w:r>
      <w:r w:rsidR="002514B0">
        <w:t xml:space="preserve"> </w:t>
      </w:r>
      <w:r w:rsidRPr="003C7F6D">
        <w:t>CLEP</w:t>
      </w:r>
      <w:r w:rsidR="002514B0">
        <w:t xml:space="preserve"> </w:t>
      </w:r>
      <w:r w:rsidRPr="003C7F6D">
        <w:t>replaces</w:t>
      </w:r>
      <w:r w:rsidR="002514B0">
        <w:t xml:space="preserve"> </w:t>
      </w:r>
      <w:r w:rsidRPr="003C7F6D">
        <w:t>ineffective</w:t>
      </w:r>
      <w:r w:rsidR="002514B0">
        <w:t xml:space="preserve"> </w:t>
      </w:r>
      <w:r w:rsidRPr="003C7F6D">
        <w:t>IRP’s</w:t>
      </w:r>
      <w:r w:rsidR="0049455B">
        <w:t>,</w:t>
      </w:r>
      <w:r w:rsidR="004F010B">
        <w:rPr>
          <w:rStyle w:val="FootnoteReference"/>
        </w:rPr>
        <w:footnoteReference w:id="11"/>
      </w:r>
      <w:r w:rsidR="002514B0">
        <w:t xml:space="preserve"> </w:t>
      </w:r>
      <w:r w:rsidRPr="003C7F6D">
        <w:t>2)</w:t>
      </w:r>
      <w:r w:rsidR="002514B0">
        <w:t xml:space="preserve"> </w:t>
      </w:r>
      <w:r w:rsidRPr="003C7F6D">
        <w:t>makes</w:t>
      </w:r>
      <w:r w:rsidR="002514B0">
        <w:t xml:space="preserve"> </w:t>
      </w:r>
      <w:r w:rsidRPr="003C7F6D">
        <w:t>FRP’s</w:t>
      </w:r>
      <w:r w:rsidR="002514B0">
        <w:t xml:space="preserve"> </w:t>
      </w:r>
      <w:r w:rsidRPr="003C7F6D">
        <w:t>and</w:t>
      </w:r>
      <w:r w:rsidR="002514B0">
        <w:t xml:space="preserve"> </w:t>
      </w:r>
      <w:r w:rsidR="00780124" w:rsidRPr="003C7F6D">
        <w:t>Dec</w:t>
      </w:r>
      <w:r w:rsidRPr="003C7F6D">
        <w:t>oupling</w:t>
      </w:r>
      <w:r w:rsidR="002514B0">
        <w:t xml:space="preserve"> </w:t>
      </w:r>
      <w:r w:rsidRPr="003C7F6D">
        <w:t>irrelevant,</w:t>
      </w:r>
      <w:r w:rsidR="004F010B">
        <w:rPr>
          <w:rStyle w:val="FootnoteReference"/>
        </w:rPr>
        <w:footnoteReference w:id="12"/>
      </w:r>
      <w:r w:rsidR="002514B0">
        <w:t xml:space="preserve"> </w:t>
      </w:r>
      <w:r w:rsidRPr="003C7F6D">
        <w:t>3)</w:t>
      </w:r>
      <w:r w:rsidR="002514B0">
        <w:t xml:space="preserve"> </w:t>
      </w:r>
      <w:hyperlink w:anchor="Table1" w:history="1">
        <w:r w:rsidRPr="004F010B">
          <w:rPr>
            <w:rStyle w:val="Hyperlink"/>
          </w:rPr>
          <w:t>doubles</w:t>
        </w:r>
        <w:r w:rsidR="002514B0" w:rsidRPr="004F010B">
          <w:rPr>
            <w:rStyle w:val="Hyperlink"/>
          </w:rPr>
          <w:t xml:space="preserve"> </w:t>
        </w:r>
        <w:r w:rsidRPr="004F010B">
          <w:rPr>
            <w:rStyle w:val="Hyperlink"/>
          </w:rPr>
          <w:t>cashflows</w:t>
        </w:r>
        <w:r w:rsidR="002514B0" w:rsidRPr="004F010B">
          <w:rPr>
            <w:rStyle w:val="Hyperlink"/>
          </w:rPr>
          <w:t xml:space="preserve"> </w:t>
        </w:r>
        <w:r w:rsidRPr="004F010B">
          <w:rPr>
            <w:rStyle w:val="Hyperlink"/>
          </w:rPr>
          <w:t>for</w:t>
        </w:r>
        <w:r w:rsidR="002514B0" w:rsidRPr="004F010B">
          <w:rPr>
            <w:rStyle w:val="Hyperlink"/>
          </w:rPr>
          <w:t xml:space="preserve"> </w:t>
        </w:r>
        <w:r w:rsidRPr="004F010B">
          <w:rPr>
            <w:rStyle w:val="Hyperlink"/>
          </w:rPr>
          <w:t>RE</w:t>
        </w:r>
        <w:r w:rsidR="002514B0" w:rsidRPr="004F010B">
          <w:rPr>
            <w:rStyle w:val="Hyperlink"/>
          </w:rPr>
          <w:t xml:space="preserve"> </w:t>
        </w:r>
        <w:r w:rsidRPr="004F010B">
          <w:rPr>
            <w:rStyle w:val="Hyperlink"/>
          </w:rPr>
          <w:t>and</w:t>
        </w:r>
        <w:r w:rsidR="002514B0" w:rsidRPr="004F010B">
          <w:rPr>
            <w:rStyle w:val="Hyperlink"/>
          </w:rPr>
          <w:t xml:space="preserve"> </w:t>
        </w:r>
        <w:r w:rsidRPr="004F010B">
          <w:rPr>
            <w:rStyle w:val="Hyperlink"/>
          </w:rPr>
          <w:t>EE</w:t>
        </w:r>
      </w:hyperlink>
      <w:r w:rsidR="002514B0">
        <w:t xml:space="preserve"> </w:t>
      </w:r>
      <w:r w:rsidRPr="003C7F6D">
        <w:t>and</w:t>
      </w:r>
      <w:r w:rsidR="002514B0">
        <w:t xml:space="preserve"> </w:t>
      </w:r>
      <w:r w:rsidRPr="003C7F6D">
        <w:t>4)</w:t>
      </w:r>
      <w:r w:rsidR="002514B0">
        <w:t xml:space="preserve"> </w:t>
      </w:r>
      <w:r w:rsidR="00821757">
        <w:t>for</w:t>
      </w:r>
      <w:r w:rsidR="002514B0">
        <w:t xml:space="preserve"> </w:t>
      </w:r>
      <w:r w:rsidR="00821757">
        <w:t>the</w:t>
      </w:r>
      <w:r w:rsidR="002514B0">
        <w:t xml:space="preserve"> </w:t>
      </w:r>
      <w:r w:rsidR="00821757">
        <w:t>first</w:t>
      </w:r>
      <w:r w:rsidR="002514B0">
        <w:t xml:space="preserve"> </w:t>
      </w:r>
      <w:r w:rsidR="00821757">
        <w:t>time,</w:t>
      </w:r>
      <w:r w:rsidR="002514B0">
        <w:t xml:space="preserve"> </w:t>
      </w:r>
      <w:hyperlink w:anchor="Table1" w:history="1">
        <w:r w:rsidR="00821757" w:rsidRPr="004F010B">
          <w:rPr>
            <w:rStyle w:val="Hyperlink"/>
          </w:rPr>
          <w:t>CLEP</w:t>
        </w:r>
        <w:r w:rsidR="002514B0" w:rsidRPr="004F010B">
          <w:rPr>
            <w:rStyle w:val="Hyperlink"/>
          </w:rPr>
          <w:t xml:space="preserve"> </w:t>
        </w:r>
        <w:r w:rsidR="00821757" w:rsidRPr="004F010B">
          <w:rPr>
            <w:rStyle w:val="Hyperlink"/>
          </w:rPr>
          <w:t>provides</w:t>
        </w:r>
        <w:r w:rsidR="002514B0" w:rsidRPr="004F010B">
          <w:rPr>
            <w:rStyle w:val="Hyperlink"/>
          </w:rPr>
          <w:t xml:space="preserve"> </w:t>
        </w:r>
        <w:r w:rsidR="00821757" w:rsidRPr="004F010B">
          <w:rPr>
            <w:rStyle w:val="Hyperlink"/>
          </w:rPr>
          <w:t>a</w:t>
        </w:r>
        <w:r w:rsidR="002514B0" w:rsidRPr="004F010B">
          <w:rPr>
            <w:rStyle w:val="Hyperlink"/>
          </w:rPr>
          <w:t xml:space="preserve"> </w:t>
        </w:r>
        <w:r w:rsidR="00821757" w:rsidRPr="004F010B">
          <w:rPr>
            <w:rStyle w:val="Hyperlink"/>
          </w:rPr>
          <w:t>financ</w:t>
        </w:r>
        <w:r w:rsidR="004F010B" w:rsidRPr="004F010B">
          <w:rPr>
            <w:rStyle w:val="Hyperlink"/>
          </w:rPr>
          <w:t>ial</w:t>
        </w:r>
        <w:r w:rsidR="002514B0" w:rsidRPr="004F010B">
          <w:rPr>
            <w:rStyle w:val="Hyperlink"/>
          </w:rPr>
          <w:t xml:space="preserve"> </w:t>
        </w:r>
        <w:r w:rsidR="00821757" w:rsidRPr="004F010B">
          <w:rPr>
            <w:rStyle w:val="Hyperlink"/>
          </w:rPr>
          <w:t>model</w:t>
        </w:r>
        <w:r w:rsidR="002514B0" w:rsidRPr="004F010B">
          <w:rPr>
            <w:rStyle w:val="Hyperlink"/>
          </w:rPr>
          <w:t xml:space="preserve"> </w:t>
        </w:r>
        <w:r w:rsidR="00821757" w:rsidRPr="004F010B">
          <w:rPr>
            <w:rStyle w:val="Hyperlink"/>
          </w:rPr>
          <w:t>for</w:t>
        </w:r>
        <w:r w:rsidR="002514B0" w:rsidRPr="004F010B">
          <w:rPr>
            <w:rStyle w:val="Hyperlink"/>
          </w:rPr>
          <w:t xml:space="preserve"> </w:t>
        </w:r>
        <w:r w:rsidR="00821757" w:rsidRPr="004F010B">
          <w:rPr>
            <w:rStyle w:val="Hyperlink"/>
          </w:rPr>
          <w:t>deep</w:t>
        </w:r>
        <w:r w:rsidR="002514B0" w:rsidRPr="004F010B">
          <w:rPr>
            <w:rStyle w:val="Hyperlink"/>
          </w:rPr>
          <w:t xml:space="preserve"> </w:t>
        </w:r>
        <w:r w:rsidR="00821757" w:rsidRPr="004F010B">
          <w:rPr>
            <w:rStyle w:val="Hyperlink"/>
          </w:rPr>
          <w:t>investments</w:t>
        </w:r>
        <w:r w:rsidR="002514B0" w:rsidRPr="004F010B">
          <w:rPr>
            <w:rStyle w:val="Hyperlink"/>
          </w:rPr>
          <w:t xml:space="preserve"> </w:t>
        </w:r>
        <w:r w:rsidR="00821757" w:rsidRPr="004F010B">
          <w:rPr>
            <w:rStyle w:val="Hyperlink"/>
          </w:rPr>
          <w:t>in</w:t>
        </w:r>
        <w:r w:rsidR="002514B0" w:rsidRPr="004F010B">
          <w:rPr>
            <w:rStyle w:val="Hyperlink"/>
          </w:rPr>
          <w:t xml:space="preserve"> </w:t>
        </w:r>
        <w:r w:rsidR="00821757" w:rsidRPr="004F010B">
          <w:rPr>
            <w:rStyle w:val="Hyperlink"/>
          </w:rPr>
          <w:t>energy</w:t>
        </w:r>
        <w:r w:rsidR="002514B0" w:rsidRPr="004F010B">
          <w:rPr>
            <w:rStyle w:val="Hyperlink"/>
          </w:rPr>
          <w:t xml:space="preserve"> </w:t>
        </w:r>
        <w:r w:rsidR="00821757" w:rsidRPr="004F010B">
          <w:rPr>
            <w:rStyle w:val="Hyperlink"/>
          </w:rPr>
          <w:t>storage</w:t>
        </w:r>
      </w:hyperlink>
      <w:r w:rsidR="002514B0">
        <w:t xml:space="preserve"> </w:t>
      </w:r>
      <w:r w:rsidRPr="003C7F6D">
        <w:t>that</w:t>
      </w:r>
      <w:r w:rsidR="002514B0">
        <w:t xml:space="preserve"> </w:t>
      </w:r>
      <w:r w:rsidRPr="003C7F6D">
        <w:t>are</w:t>
      </w:r>
      <w:r w:rsidR="002514B0">
        <w:t xml:space="preserve"> </w:t>
      </w:r>
      <w:r w:rsidRPr="003C7F6D">
        <w:t>indispensable</w:t>
      </w:r>
      <w:r w:rsidR="002514B0">
        <w:t xml:space="preserve"> </w:t>
      </w:r>
      <w:r w:rsidRPr="003C7F6D">
        <w:t>for</w:t>
      </w:r>
      <w:r w:rsidR="002514B0">
        <w:t xml:space="preserve"> </w:t>
      </w:r>
      <w:r w:rsidRPr="003C7F6D">
        <w:t>a</w:t>
      </w:r>
      <w:r w:rsidR="002514B0">
        <w:t xml:space="preserve"> </w:t>
      </w:r>
      <w:r w:rsidRPr="003C7F6D">
        <w:t>s</w:t>
      </w:r>
      <w:r w:rsidR="00821757">
        <w:t>ustainable</w:t>
      </w:r>
      <w:r w:rsidR="002514B0">
        <w:t xml:space="preserve"> </w:t>
      </w:r>
      <w:r w:rsidR="00821757">
        <w:t>energy</w:t>
      </w:r>
      <w:r w:rsidR="002514B0">
        <w:t xml:space="preserve"> </w:t>
      </w:r>
      <w:r w:rsidR="00821757">
        <w:t>future.</w:t>
      </w:r>
      <w:r w:rsidR="004F010B">
        <w:rPr>
          <w:rStyle w:val="FootnoteReference"/>
        </w:rPr>
        <w:footnoteReference w:id="13"/>
      </w:r>
      <w:r w:rsidR="002514B0">
        <w:t xml:space="preserve"> </w:t>
      </w:r>
      <w:r w:rsidR="00821757">
        <w:t>Th</w:t>
      </w:r>
      <w:r w:rsidRPr="003C7F6D">
        <w:t>e</w:t>
      </w:r>
      <w:r w:rsidR="002514B0">
        <w:t xml:space="preserve"> </w:t>
      </w:r>
      <w:r w:rsidRPr="003C7F6D">
        <w:t>alternative</w:t>
      </w:r>
      <w:r w:rsidR="002514B0">
        <w:t xml:space="preserve"> </w:t>
      </w:r>
      <w:r w:rsidRPr="003C7F6D">
        <w:t>proposal</w:t>
      </w:r>
      <w:r w:rsidR="002514B0">
        <w:t xml:space="preserve"> </w:t>
      </w:r>
      <w:r w:rsidRPr="003C7F6D">
        <w:t>being</w:t>
      </w:r>
      <w:r w:rsidR="002514B0">
        <w:t xml:space="preserve"> </w:t>
      </w:r>
      <w:r w:rsidRPr="003C7F6D">
        <w:t>imported</w:t>
      </w:r>
      <w:r w:rsidR="002514B0">
        <w:t xml:space="preserve"> </w:t>
      </w:r>
      <w:r w:rsidRPr="003C7F6D">
        <w:t>from</w:t>
      </w:r>
      <w:r w:rsidR="002514B0">
        <w:t xml:space="preserve"> </w:t>
      </w:r>
      <w:r w:rsidRPr="003C7F6D">
        <w:t>Algiers</w:t>
      </w:r>
      <w:r w:rsidR="002514B0">
        <w:t xml:space="preserve"> </w:t>
      </w:r>
      <w:r w:rsidR="00821757">
        <w:t>does</w:t>
      </w:r>
      <w:r w:rsidR="002514B0">
        <w:t xml:space="preserve"> </w:t>
      </w:r>
      <w:r w:rsidR="00821757">
        <w:t>not</w:t>
      </w:r>
      <w:r w:rsidR="002514B0">
        <w:t xml:space="preserve"> </w:t>
      </w:r>
      <w:r w:rsidR="00821757">
        <w:t>enable</w:t>
      </w:r>
      <w:r w:rsidR="002514B0">
        <w:t xml:space="preserve"> </w:t>
      </w:r>
      <w:r w:rsidR="00821757">
        <w:t>implementation</w:t>
      </w:r>
      <w:r w:rsidR="002514B0">
        <w:t xml:space="preserve"> </w:t>
      </w:r>
      <w:r w:rsidR="00821757">
        <w:t>of</w:t>
      </w:r>
      <w:r w:rsidR="002514B0">
        <w:t xml:space="preserve"> </w:t>
      </w:r>
      <w:r w:rsidR="00821757">
        <w:t>points</w:t>
      </w:r>
      <w:r w:rsidR="002514B0">
        <w:t xml:space="preserve"> </w:t>
      </w:r>
      <w:r w:rsidR="00821757">
        <w:t>2,</w:t>
      </w:r>
      <w:r w:rsidR="002514B0">
        <w:t xml:space="preserve"> </w:t>
      </w:r>
      <w:r w:rsidR="00821757">
        <w:t>3</w:t>
      </w:r>
      <w:r w:rsidR="002514B0">
        <w:t xml:space="preserve"> </w:t>
      </w:r>
      <w:r w:rsidR="00821757">
        <w:t>or</w:t>
      </w:r>
      <w:r w:rsidR="002514B0">
        <w:t xml:space="preserve"> </w:t>
      </w:r>
      <w:r w:rsidR="00821757">
        <w:t>4</w:t>
      </w:r>
      <w:r w:rsidRPr="003C7F6D">
        <w:t>.</w:t>
      </w:r>
      <w:r w:rsidR="002514B0">
        <w:t xml:space="preserve"> </w:t>
      </w:r>
      <w:r w:rsidRPr="003C7F6D">
        <w:t>None</w:t>
      </w:r>
      <w:r w:rsidR="002514B0">
        <w:t xml:space="preserve"> </w:t>
      </w:r>
      <w:r w:rsidRPr="003C7F6D">
        <w:t>of</w:t>
      </w:r>
      <w:r w:rsidR="002514B0">
        <w:t xml:space="preserve"> </w:t>
      </w:r>
      <w:r w:rsidRPr="003C7F6D">
        <w:t>these</w:t>
      </w:r>
      <w:r w:rsidR="002514B0">
        <w:t xml:space="preserve"> </w:t>
      </w:r>
      <w:r w:rsidR="00821757">
        <w:t>benefits</w:t>
      </w:r>
      <w:r w:rsidR="002514B0">
        <w:t xml:space="preserve"> </w:t>
      </w:r>
      <w:r w:rsidRPr="003C7F6D">
        <w:t>are</w:t>
      </w:r>
      <w:r w:rsidR="002514B0">
        <w:t xml:space="preserve"> </w:t>
      </w:r>
      <w:r w:rsidRPr="003C7F6D">
        <w:t>mentioned</w:t>
      </w:r>
      <w:r w:rsidR="002514B0">
        <w:t xml:space="preserve"> </w:t>
      </w:r>
      <w:r w:rsidRPr="003C7F6D">
        <w:t>in</w:t>
      </w:r>
      <w:r w:rsidR="002514B0">
        <w:t xml:space="preserve"> </w:t>
      </w:r>
      <w:r w:rsidRPr="003C7F6D">
        <w:t>this</w:t>
      </w:r>
      <w:r w:rsidR="002514B0">
        <w:t xml:space="preserve"> </w:t>
      </w:r>
      <w:r w:rsidRPr="003C7F6D">
        <w:t>paragraph.</w:t>
      </w:r>
    </w:p>
    <w:p w14:paraId="676EA2AB" w14:textId="5B189288" w:rsidR="00511610" w:rsidRPr="003C7F6D" w:rsidRDefault="00511610" w:rsidP="003C7F6D">
      <w:pPr>
        <w:pStyle w:val="Quote"/>
      </w:pPr>
      <w:r w:rsidRPr="003C7F6D">
        <w:t>“Whether</w:t>
      </w:r>
      <w:r w:rsidR="002514B0">
        <w:t xml:space="preserve"> </w:t>
      </w:r>
      <w:r w:rsidRPr="003C7F6D">
        <w:t>the</w:t>
      </w:r>
      <w:r w:rsidR="002514B0">
        <w:t xml:space="preserve"> </w:t>
      </w:r>
      <w:r w:rsidRPr="003C7F6D">
        <w:t>CLEP</w:t>
      </w:r>
      <w:r w:rsidR="002514B0">
        <w:t xml:space="preserve"> </w:t>
      </w:r>
      <w:r w:rsidRPr="003C7F6D">
        <w:t>proposal</w:t>
      </w:r>
      <w:r w:rsidR="002514B0">
        <w:t xml:space="preserve"> </w:t>
      </w:r>
      <w:r w:rsidRPr="003C7F6D">
        <w:t>will</w:t>
      </w:r>
      <w:r w:rsidR="002514B0">
        <w:t xml:space="preserve"> </w:t>
      </w:r>
      <w:r w:rsidRPr="003C7F6D">
        <w:t>actually</w:t>
      </w:r>
      <w:r w:rsidR="002514B0">
        <w:t xml:space="preserve"> </w:t>
      </w:r>
      <w:r w:rsidRPr="003C7F6D">
        <w:t>produce</w:t>
      </w:r>
      <w:r w:rsidR="002514B0">
        <w:t xml:space="preserve"> </w:t>
      </w:r>
      <w:r w:rsidRPr="003C7F6D">
        <w:t>these</w:t>
      </w:r>
      <w:r w:rsidR="002514B0">
        <w:t xml:space="preserve"> </w:t>
      </w:r>
      <w:r w:rsidRPr="003C7F6D">
        <w:t>benefits</w:t>
      </w:r>
      <w:r w:rsidR="002514B0">
        <w:t xml:space="preserve"> </w:t>
      </w:r>
      <w:r w:rsidRPr="003C7F6D">
        <w:t>is</w:t>
      </w:r>
      <w:r w:rsidR="002514B0">
        <w:t xml:space="preserve"> </w:t>
      </w:r>
      <w:r w:rsidRPr="003C7F6D">
        <w:t>uncertain.”</w:t>
      </w:r>
      <w:r w:rsidR="004F010B">
        <w:rPr>
          <w:rStyle w:val="FootnoteReference"/>
        </w:rPr>
        <w:footnoteReference w:id="14"/>
      </w:r>
      <w:r w:rsidR="002514B0">
        <w:t xml:space="preserve"> </w:t>
      </w:r>
    </w:p>
    <w:p w14:paraId="0FDF74FD" w14:textId="77777777" w:rsidR="0049455B" w:rsidRDefault="0049455B" w:rsidP="003C7F6D">
      <w:pPr>
        <w:pStyle w:val="Quote"/>
      </w:pPr>
    </w:p>
    <w:p w14:paraId="7117E235" w14:textId="168F3B37" w:rsidR="00511610" w:rsidRPr="003C7F6D" w:rsidRDefault="00511610" w:rsidP="003C7F6D">
      <w:pPr>
        <w:pStyle w:val="Quote"/>
      </w:pPr>
      <w:r w:rsidRPr="003C7F6D">
        <w:t>"In</w:t>
      </w:r>
      <w:r w:rsidR="002514B0">
        <w:t xml:space="preserve"> </w:t>
      </w:r>
      <w:r w:rsidRPr="003C7F6D">
        <w:t>addition,</w:t>
      </w:r>
      <w:r w:rsidR="002514B0">
        <w:t xml:space="preserve"> </w:t>
      </w:r>
      <w:r w:rsidRPr="003C7F6D">
        <w:t>the</w:t>
      </w:r>
      <w:r w:rsidR="002514B0">
        <w:t xml:space="preserve"> </w:t>
      </w:r>
      <w:r w:rsidRPr="003C7F6D">
        <w:t>design</w:t>
      </w:r>
      <w:r w:rsidR="002514B0">
        <w:t xml:space="preserve"> </w:t>
      </w:r>
      <w:r w:rsidRPr="003C7F6D">
        <w:t>of</w:t>
      </w:r>
      <w:r w:rsidR="002514B0">
        <w:t xml:space="preserve"> </w:t>
      </w:r>
      <w:r w:rsidRPr="003C7F6D">
        <w:t>CLEP</w:t>
      </w:r>
      <w:r w:rsidR="002514B0">
        <w:t xml:space="preserve"> </w:t>
      </w:r>
      <w:r w:rsidRPr="003C7F6D">
        <w:t>is</w:t>
      </w:r>
      <w:r w:rsidR="002514B0">
        <w:t xml:space="preserve"> </w:t>
      </w:r>
      <w:r w:rsidRPr="003C7F6D">
        <w:rPr>
          <w:rStyle w:val="QuoteChar"/>
        </w:rPr>
        <w:t>extremely</w:t>
      </w:r>
      <w:r w:rsidR="002514B0">
        <w:t xml:space="preserve"> </w:t>
      </w:r>
      <w:r w:rsidRPr="003C7F6D">
        <w:t>complicated</w:t>
      </w:r>
      <w:r w:rsidR="002514B0">
        <w:t xml:space="preserve"> </w:t>
      </w:r>
      <w:r w:rsidRPr="003C7F6D">
        <w:t>and</w:t>
      </w:r>
      <w:r w:rsidR="002514B0">
        <w:t xml:space="preserve"> </w:t>
      </w:r>
      <w:r w:rsidRPr="003C7F6D">
        <w:t>not</w:t>
      </w:r>
      <w:r w:rsidR="002514B0">
        <w:t xml:space="preserve"> </w:t>
      </w:r>
      <w:r w:rsidRPr="003C7F6D">
        <w:t>one</w:t>
      </w:r>
      <w:r w:rsidR="002514B0">
        <w:t xml:space="preserve"> </w:t>
      </w:r>
      <w:r w:rsidRPr="003C7F6D">
        <w:t>that</w:t>
      </w:r>
      <w:r w:rsidR="002514B0">
        <w:t xml:space="preserve"> </w:t>
      </w:r>
      <w:r w:rsidRPr="003C7F6D">
        <w:t>customers</w:t>
      </w:r>
      <w:r w:rsidR="002514B0">
        <w:t xml:space="preserve"> </w:t>
      </w:r>
      <w:r w:rsidRPr="003C7F6D">
        <w:t>will</w:t>
      </w:r>
      <w:r w:rsidR="002514B0">
        <w:t xml:space="preserve"> </w:t>
      </w:r>
      <w:r w:rsidRPr="003C7F6D">
        <w:t>easily</w:t>
      </w:r>
      <w:r w:rsidR="002514B0">
        <w:t xml:space="preserve"> </w:t>
      </w:r>
      <w:r w:rsidRPr="003C7F6D">
        <w:t>be</w:t>
      </w:r>
      <w:r w:rsidR="002514B0">
        <w:t xml:space="preserve"> </w:t>
      </w:r>
      <w:r w:rsidRPr="003C7F6D">
        <w:t>able</w:t>
      </w:r>
      <w:r w:rsidR="002514B0">
        <w:t xml:space="preserve"> </w:t>
      </w:r>
      <w:r w:rsidRPr="003C7F6D">
        <w:t>to</w:t>
      </w:r>
      <w:r w:rsidR="002514B0">
        <w:t xml:space="preserve"> </w:t>
      </w:r>
      <w:r w:rsidRPr="003C7F6D">
        <w:t>navigate.”</w:t>
      </w:r>
      <w:r w:rsidR="00151A74">
        <w:rPr>
          <w:rStyle w:val="FootnoteReference"/>
        </w:rPr>
        <w:footnoteReference w:id="15"/>
      </w:r>
      <w:r w:rsidR="002514B0">
        <w:t xml:space="preserve"> </w:t>
      </w:r>
    </w:p>
    <w:p w14:paraId="2D025D72" w14:textId="3745C95A" w:rsidR="0049455B" w:rsidRDefault="0049455B" w:rsidP="0049455B">
      <w:pPr>
        <w:pStyle w:val="BodyText"/>
      </w:pPr>
      <w:r>
        <w:t xml:space="preserve">Again, we believe that many of these issues and areas of confusion can be addressed and resolved in the context of a collaborative effort among key stakeholders, experts, ENO, and the Advisors, in the proposed Load Flexibility Working Group. </w:t>
      </w:r>
    </w:p>
    <w:p w14:paraId="0B4A45F5" w14:textId="77777777" w:rsidR="0049455B" w:rsidRPr="00A77FF6" w:rsidRDefault="0049455B" w:rsidP="0049455B">
      <w:pPr>
        <w:pStyle w:val="BodyText"/>
        <w:rPr>
          <w:sz w:val="22"/>
        </w:rPr>
      </w:pPr>
    </w:p>
    <w:p w14:paraId="3D711338" w14:textId="35089265" w:rsidR="004F18EC" w:rsidRDefault="00511610" w:rsidP="00511610">
      <w:pPr>
        <w:pStyle w:val="BodyText"/>
        <w:ind w:right="-14"/>
      </w:pPr>
      <w:r w:rsidRPr="002D6F19">
        <w:rPr>
          <w:b/>
          <w:bCs/>
          <w:i/>
          <w:iCs/>
        </w:rPr>
        <w:t>After</w:t>
      </w:r>
      <w:r w:rsidR="002514B0">
        <w:rPr>
          <w:b/>
          <w:bCs/>
          <w:i/>
          <w:iCs/>
        </w:rPr>
        <w:t xml:space="preserve"> </w:t>
      </w:r>
      <w:r w:rsidRPr="002D6F19">
        <w:rPr>
          <w:b/>
          <w:bCs/>
          <w:i/>
          <w:iCs/>
        </w:rPr>
        <w:t>all,</w:t>
      </w:r>
      <w:r w:rsidR="002514B0">
        <w:rPr>
          <w:b/>
          <w:bCs/>
          <w:i/>
          <w:iCs/>
        </w:rPr>
        <w:t xml:space="preserve"> </w:t>
      </w:r>
      <w:r w:rsidR="00151A74">
        <w:rPr>
          <w:b/>
          <w:bCs/>
          <w:i/>
          <w:iCs/>
        </w:rPr>
        <w:t xml:space="preserve">for the average customer, </w:t>
      </w:r>
      <w:r w:rsidRPr="002D6F19">
        <w:rPr>
          <w:b/>
          <w:bCs/>
          <w:i/>
          <w:iCs/>
        </w:rPr>
        <w:t>CLEP</w:t>
      </w:r>
      <w:r w:rsidR="002514B0">
        <w:rPr>
          <w:b/>
          <w:bCs/>
          <w:i/>
          <w:iCs/>
        </w:rPr>
        <w:t xml:space="preserve"> </w:t>
      </w:r>
      <w:r w:rsidRPr="002D6F19">
        <w:rPr>
          <w:b/>
          <w:bCs/>
          <w:i/>
          <w:iCs/>
        </w:rPr>
        <w:t>is</w:t>
      </w:r>
      <w:r w:rsidR="002514B0">
        <w:rPr>
          <w:b/>
          <w:bCs/>
          <w:i/>
          <w:iCs/>
        </w:rPr>
        <w:t xml:space="preserve"> </w:t>
      </w:r>
      <w:r w:rsidRPr="002D6F19">
        <w:rPr>
          <w:b/>
          <w:bCs/>
          <w:i/>
          <w:iCs/>
        </w:rPr>
        <w:t>fundamentally</w:t>
      </w:r>
      <w:r w:rsidR="002514B0">
        <w:rPr>
          <w:b/>
          <w:bCs/>
          <w:i/>
          <w:iCs/>
        </w:rPr>
        <w:t xml:space="preserve"> </w:t>
      </w:r>
      <w:r w:rsidRPr="002D6F19">
        <w:rPr>
          <w:b/>
          <w:bCs/>
          <w:i/>
          <w:iCs/>
        </w:rPr>
        <w:t>not</w:t>
      </w:r>
      <w:r w:rsidR="002514B0">
        <w:rPr>
          <w:b/>
          <w:bCs/>
          <w:i/>
          <w:iCs/>
        </w:rPr>
        <w:t xml:space="preserve"> </w:t>
      </w:r>
      <w:r w:rsidRPr="002D6F19">
        <w:rPr>
          <w:b/>
          <w:bCs/>
          <w:i/>
          <w:iCs/>
        </w:rPr>
        <w:t>much</w:t>
      </w:r>
      <w:r w:rsidR="002514B0">
        <w:rPr>
          <w:b/>
          <w:bCs/>
          <w:i/>
          <w:iCs/>
        </w:rPr>
        <w:t xml:space="preserve"> </w:t>
      </w:r>
      <w:r w:rsidRPr="002D6F19">
        <w:rPr>
          <w:b/>
          <w:bCs/>
          <w:i/>
          <w:iCs/>
        </w:rPr>
        <w:t>more</w:t>
      </w:r>
      <w:r w:rsidR="002514B0">
        <w:rPr>
          <w:b/>
          <w:bCs/>
          <w:i/>
          <w:iCs/>
        </w:rPr>
        <w:t xml:space="preserve"> </w:t>
      </w:r>
      <w:r w:rsidRPr="002D6F19">
        <w:rPr>
          <w:b/>
          <w:bCs/>
          <w:i/>
          <w:iCs/>
        </w:rPr>
        <w:t>than</w:t>
      </w:r>
      <w:r w:rsidR="002514B0">
        <w:rPr>
          <w:b/>
          <w:bCs/>
          <w:i/>
          <w:iCs/>
        </w:rPr>
        <w:t xml:space="preserve"> </w:t>
      </w:r>
      <w:r w:rsidRPr="002D6F19">
        <w:rPr>
          <w:b/>
          <w:bCs/>
          <w:i/>
          <w:iCs/>
        </w:rPr>
        <w:t>buy</w:t>
      </w:r>
      <w:r w:rsidR="001E79D4" w:rsidRPr="002D6F19">
        <w:rPr>
          <w:b/>
          <w:bCs/>
          <w:i/>
          <w:iCs/>
        </w:rPr>
        <w:t>ing</w:t>
      </w:r>
      <w:r w:rsidR="002514B0">
        <w:rPr>
          <w:b/>
          <w:bCs/>
          <w:i/>
          <w:iCs/>
        </w:rPr>
        <w:t xml:space="preserve"> </w:t>
      </w:r>
      <w:r w:rsidRPr="002D6F19">
        <w:rPr>
          <w:b/>
          <w:bCs/>
          <w:i/>
          <w:iCs/>
        </w:rPr>
        <w:t>electricity</w:t>
      </w:r>
      <w:r w:rsidR="002514B0">
        <w:rPr>
          <w:b/>
          <w:bCs/>
          <w:i/>
          <w:iCs/>
        </w:rPr>
        <w:t xml:space="preserve"> </w:t>
      </w:r>
      <w:r w:rsidRPr="002D6F19">
        <w:rPr>
          <w:b/>
          <w:bCs/>
          <w:i/>
          <w:iCs/>
        </w:rPr>
        <w:t>when</w:t>
      </w:r>
      <w:r w:rsidR="002514B0">
        <w:rPr>
          <w:b/>
          <w:bCs/>
          <w:i/>
          <w:iCs/>
        </w:rPr>
        <w:t xml:space="preserve"> </w:t>
      </w:r>
      <w:r w:rsidRPr="002D6F19">
        <w:rPr>
          <w:b/>
          <w:bCs/>
          <w:i/>
          <w:iCs/>
        </w:rPr>
        <w:t>it</w:t>
      </w:r>
      <w:r w:rsidR="002514B0">
        <w:rPr>
          <w:b/>
          <w:bCs/>
          <w:i/>
          <w:iCs/>
        </w:rPr>
        <w:t xml:space="preserve"> </w:t>
      </w:r>
      <w:r w:rsidR="00D65850" w:rsidRPr="002D6F19">
        <w:rPr>
          <w:b/>
          <w:bCs/>
          <w:i/>
          <w:iCs/>
        </w:rPr>
        <w:t>is</w:t>
      </w:r>
      <w:r w:rsidR="002514B0">
        <w:rPr>
          <w:b/>
          <w:bCs/>
          <w:i/>
          <w:iCs/>
        </w:rPr>
        <w:t xml:space="preserve"> </w:t>
      </w:r>
      <w:r w:rsidR="00093C8E">
        <w:rPr>
          <w:b/>
          <w:bCs/>
          <w:i/>
          <w:iCs/>
        </w:rPr>
        <w:t>less expensive</w:t>
      </w:r>
      <w:r w:rsidR="002514B0">
        <w:rPr>
          <w:b/>
          <w:bCs/>
          <w:i/>
          <w:iCs/>
        </w:rPr>
        <w:t xml:space="preserve"> </w:t>
      </w:r>
      <w:r w:rsidRPr="002D6F19">
        <w:rPr>
          <w:b/>
          <w:bCs/>
          <w:i/>
          <w:iCs/>
        </w:rPr>
        <w:t>and</w:t>
      </w:r>
      <w:r w:rsidR="002514B0">
        <w:rPr>
          <w:b/>
          <w:bCs/>
          <w:i/>
          <w:iCs/>
        </w:rPr>
        <w:t xml:space="preserve"> </w:t>
      </w:r>
      <w:r w:rsidRPr="002D6F19">
        <w:rPr>
          <w:b/>
          <w:bCs/>
          <w:i/>
          <w:iCs/>
        </w:rPr>
        <w:t>get</w:t>
      </w:r>
      <w:r w:rsidR="00093C8E">
        <w:rPr>
          <w:b/>
          <w:bCs/>
          <w:i/>
          <w:iCs/>
        </w:rPr>
        <w:t>ting</w:t>
      </w:r>
      <w:r w:rsidR="002514B0">
        <w:rPr>
          <w:b/>
          <w:bCs/>
          <w:i/>
          <w:iCs/>
        </w:rPr>
        <w:t xml:space="preserve"> </w:t>
      </w:r>
      <w:r w:rsidRPr="002D6F19">
        <w:rPr>
          <w:b/>
          <w:bCs/>
          <w:i/>
          <w:iCs/>
        </w:rPr>
        <w:t>paid</w:t>
      </w:r>
      <w:r w:rsidR="002514B0">
        <w:rPr>
          <w:b/>
          <w:bCs/>
          <w:i/>
          <w:iCs/>
        </w:rPr>
        <w:t xml:space="preserve"> </w:t>
      </w:r>
      <w:r w:rsidRPr="002D6F19">
        <w:rPr>
          <w:b/>
          <w:bCs/>
          <w:i/>
          <w:iCs/>
        </w:rPr>
        <w:t>most</w:t>
      </w:r>
      <w:r w:rsidR="002514B0">
        <w:rPr>
          <w:b/>
          <w:bCs/>
          <w:i/>
          <w:iCs/>
        </w:rPr>
        <w:t xml:space="preserve"> </w:t>
      </w:r>
      <w:r w:rsidRPr="002D6F19">
        <w:rPr>
          <w:b/>
          <w:bCs/>
          <w:i/>
          <w:iCs/>
        </w:rPr>
        <w:t>of</w:t>
      </w:r>
      <w:r w:rsidR="002514B0">
        <w:rPr>
          <w:b/>
          <w:bCs/>
          <w:i/>
          <w:iCs/>
        </w:rPr>
        <w:t xml:space="preserve"> </w:t>
      </w:r>
      <w:r w:rsidRPr="002D6F19">
        <w:rPr>
          <w:b/>
          <w:bCs/>
          <w:i/>
          <w:iCs/>
        </w:rPr>
        <w:t>the</w:t>
      </w:r>
      <w:r w:rsidR="002514B0">
        <w:rPr>
          <w:b/>
          <w:bCs/>
          <w:i/>
          <w:iCs/>
        </w:rPr>
        <w:t xml:space="preserve"> </w:t>
      </w:r>
      <w:r w:rsidRPr="002D6F19">
        <w:rPr>
          <w:b/>
          <w:bCs/>
          <w:i/>
          <w:iCs/>
        </w:rPr>
        <w:t>benefit</w:t>
      </w:r>
      <w:r w:rsidR="002514B0">
        <w:rPr>
          <w:b/>
          <w:bCs/>
          <w:i/>
          <w:iCs/>
        </w:rPr>
        <w:t xml:space="preserve"> </w:t>
      </w:r>
      <w:r w:rsidRPr="002D6F19">
        <w:rPr>
          <w:b/>
          <w:bCs/>
          <w:i/>
          <w:iCs/>
        </w:rPr>
        <w:t>that</w:t>
      </w:r>
      <w:r w:rsidR="002514B0">
        <w:rPr>
          <w:b/>
          <w:bCs/>
          <w:i/>
          <w:iCs/>
        </w:rPr>
        <w:t xml:space="preserve"> </w:t>
      </w:r>
      <w:r w:rsidRPr="002D6F19">
        <w:rPr>
          <w:b/>
          <w:bCs/>
          <w:i/>
          <w:iCs/>
        </w:rPr>
        <w:t>generates</w:t>
      </w:r>
      <w:r w:rsidR="00434210" w:rsidRPr="002D6F19">
        <w:rPr>
          <w:b/>
          <w:bCs/>
          <w:i/>
          <w:iCs/>
        </w:rPr>
        <w:t>—</w:t>
      </w:r>
      <w:r w:rsidRPr="002D6F19">
        <w:rPr>
          <w:b/>
          <w:bCs/>
          <w:i/>
          <w:iCs/>
        </w:rPr>
        <w:t>the</w:t>
      </w:r>
      <w:r w:rsidR="002514B0">
        <w:rPr>
          <w:b/>
          <w:bCs/>
          <w:i/>
          <w:iCs/>
        </w:rPr>
        <w:t xml:space="preserve"> </w:t>
      </w:r>
      <w:r w:rsidRPr="002D6F19">
        <w:rPr>
          <w:b/>
          <w:bCs/>
          <w:i/>
          <w:iCs/>
        </w:rPr>
        <w:t>rest</w:t>
      </w:r>
      <w:r w:rsidR="002514B0">
        <w:rPr>
          <w:b/>
          <w:bCs/>
          <w:i/>
          <w:iCs/>
        </w:rPr>
        <w:t xml:space="preserve"> </w:t>
      </w:r>
      <w:r w:rsidRPr="002D6F19">
        <w:rPr>
          <w:b/>
          <w:bCs/>
          <w:i/>
          <w:iCs/>
        </w:rPr>
        <w:t>is</w:t>
      </w:r>
      <w:r w:rsidR="002514B0">
        <w:rPr>
          <w:b/>
          <w:bCs/>
          <w:i/>
          <w:iCs/>
        </w:rPr>
        <w:t xml:space="preserve"> </w:t>
      </w:r>
      <w:r w:rsidRPr="002D6F19">
        <w:rPr>
          <w:b/>
          <w:bCs/>
          <w:i/>
          <w:iCs/>
        </w:rPr>
        <w:t>commentary.</w:t>
      </w:r>
      <w:r w:rsidR="002514B0">
        <w:t xml:space="preserve"> </w:t>
      </w:r>
    </w:p>
    <w:p w14:paraId="3FC6C386" w14:textId="624DE161" w:rsidR="00064848" w:rsidRPr="003C7F6D" w:rsidRDefault="00064848" w:rsidP="00064848">
      <w:pPr>
        <w:pStyle w:val="BodyText"/>
        <w:ind w:right="-14" w:firstLine="0"/>
      </w:pPr>
      <w:bookmarkStart w:id="47" w:name="_Toc16165425"/>
      <w:r w:rsidRPr="003C7F6D">
        <w:t>I-phones</w:t>
      </w:r>
      <w:r w:rsidR="002514B0">
        <w:t xml:space="preserve"> </w:t>
      </w:r>
      <w:r w:rsidRPr="003C7F6D">
        <w:t>are</w:t>
      </w:r>
      <w:r w:rsidR="002514B0">
        <w:t xml:space="preserve"> </w:t>
      </w:r>
      <w:r w:rsidRPr="003C7F6D">
        <w:t>very</w:t>
      </w:r>
      <w:r w:rsidR="002514B0">
        <w:t xml:space="preserve"> </w:t>
      </w:r>
      <w:r w:rsidRPr="003C7F6D">
        <w:t>complex</w:t>
      </w:r>
      <w:r w:rsidR="002514B0">
        <w:t xml:space="preserve"> </w:t>
      </w:r>
      <w:r w:rsidRPr="003C7F6D">
        <w:t>machines,</w:t>
      </w:r>
      <w:r w:rsidR="002514B0">
        <w:t xml:space="preserve"> </w:t>
      </w:r>
      <w:r w:rsidRPr="003C7F6D">
        <w:t>but</w:t>
      </w:r>
      <w:r w:rsidR="002514B0">
        <w:t xml:space="preserve"> </w:t>
      </w:r>
      <w:r w:rsidRPr="003C7F6D">
        <w:t>people</w:t>
      </w:r>
      <w:r w:rsidR="002514B0">
        <w:t xml:space="preserve"> </w:t>
      </w:r>
      <w:r w:rsidRPr="003C7F6D">
        <w:t>that</w:t>
      </w:r>
      <w:r w:rsidR="002514B0">
        <w:t xml:space="preserve"> </w:t>
      </w:r>
      <w:r w:rsidRPr="003C7F6D">
        <w:t>buy</w:t>
      </w:r>
      <w:r w:rsidR="002514B0">
        <w:t xml:space="preserve"> </w:t>
      </w:r>
      <w:r w:rsidRPr="003C7F6D">
        <w:t>them</w:t>
      </w:r>
      <w:r w:rsidR="002514B0">
        <w:t xml:space="preserve"> </w:t>
      </w:r>
      <w:r w:rsidRPr="003C7F6D">
        <w:t>learn</w:t>
      </w:r>
      <w:r w:rsidR="002514B0">
        <w:t xml:space="preserve"> </w:t>
      </w:r>
      <w:r w:rsidRPr="003C7F6D">
        <w:t>to</w:t>
      </w:r>
      <w:r w:rsidR="002514B0">
        <w:t xml:space="preserve"> </w:t>
      </w:r>
      <w:r w:rsidRPr="003C7F6D">
        <w:t>navigate</w:t>
      </w:r>
      <w:r w:rsidR="002514B0">
        <w:t xml:space="preserve"> </w:t>
      </w:r>
      <w:r w:rsidRPr="003C7F6D">
        <w:t>them</w:t>
      </w:r>
      <w:r w:rsidR="002514B0">
        <w:t xml:space="preserve"> </w:t>
      </w:r>
      <w:r w:rsidRPr="003C7F6D">
        <w:t>to</w:t>
      </w:r>
      <w:r w:rsidR="002514B0">
        <w:t xml:space="preserve"> </w:t>
      </w:r>
      <w:r w:rsidRPr="003C7F6D">
        <w:t>the</w:t>
      </w:r>
      <w:r w:rsidR="002514B0">
        <w:t xml:space="preserve"> </w:t>
      </w:r>
      <w:r w:rsidRPr="003C7F6D">
        <w:t>level</w:t>
      </w:r>
      <w:r w:rsidR="002514B0">
        <w:t xml:space="preserve"> </w:t>
      </w:r>
      <w:r>
        <w:t>with</w:t>
      </w:r>
      <w:r w:rsidR="002514B0">
        <w:t xml:space="preserve"> </w:t>
      </w:r>
      <w:r>
        <w:t>which</w:t>
      </w:r>
      <w:r w:rsidR="002514B0">
        <w:t xml:space="preserve"> </w:t>
      </w:r>
      <w:r w:rsidRPr="003C7F6D">
        <w:t>they</w:t>
      </w:r>
      <w:r w:rsidR="002514B0">
        <w:t xml:space="preserve"> </w:t>
      </w:r>
      <w:r w:rsidRPr="003C7F6D">
        <w:t>are</w:t>
      </w:r>
      <w:r w:rsidR="002514B0">
        <w:t xml:space="preserve"> </w:t>
      </w:r>
      <w:r w:rsidRPr="003C7F6D">
        <w:t>comfortable.</w:t>
      </w:r>
      <w:r w:rsidR="002514B0">
        <w:t xml:space="preserve"> </w:t>
      </w:r>
      <w:r w:rsidRPr="003C7F6D">
        <w:t>CLEP</w:t>
      </w:r>
      <w:r w:rsidR="002514B0">
        <w:t xml:space="preserve"> </w:t>
      </w:r>
      <w:r w:rsidRPr="003C7F6D">
        <w:t>is</w:t>
      </w:r>
      <w:r w:rsidR="002514B0">
        <w:t xml:space="preserve"> </w:t>
      </w:r>
      <w:r w:rsidRPr="003C7F6D">
        <w:t>no</w:t>
      </w:r>
      <w:r w:rsidR="002514B0">
        <w:t xml:space="preserve"> </w:t>
      </w:r>
      <w:r w:rsidRPr="003C7F6D">
        <w:t>different.</w:t>
      </w:r>
      <w:r w:rsidR="002514B0">
        <w:t xml:space="preserve"> </w:t>
      </w:r>
      <w:r w:rsidRPr="003C7F6D">
        <w:t>Someone</w:t>
      </w:r>
      <w:r w:rsidR="002514B0">
        <w:t xml:space="preserve"> </w:t>
      </w:r>
      <w:r w:rsidRPr="003C7F6D">
        <w:t>afraid</w:t>
      </w:r>
      <w:r w:rsidR="002514B0">
        <w:t xml:space="preserve"> </w:t>
      </w:r>
      <w:r w:rsidRPr="003C7F6D">
        <w:t>to</w:t>
      </w:r>
      <w:r w:rsidR="002514B0">
        <w:t xml:space="preserve"> </w:t>
      </w:r>
      <w:r w:rsidRPr="003C7F6D">
        <w:t>try</w:t>
      </w:r>
      <w:r w:rsidR="002514B0">
        <w:t xml:space="preserve"> </w:t>
      </w:r>
      <w:r w:rsidRPr="003C7F6D">
        <w:t>it</w:t>
      </w:r>
      <w:r w:rsidR="002514B0">
        <w:t xml:space="preserve"> </w:t>
      </w:r>
      <w:r w:rsidRPr="003C7F6D">
        <w:t>will</w:t>
      </w:r>
      <w:r w:rsidR="002514B0">
        <w:t xml:space="preserve"> </w:t>
      </w:r>
      <w:r w:rsidRPr="003C7F6D">
        <w:t>simply</w:t>
      </w:r>
      <w:r w:rsidR="002514B0">
        <w:t xml:space="preserve"> </w:t>
      </w:r>
      <w:r w:rsidRPr="003C7F6D">
        <w:t>not</w:t>
      </w:r>
      <w:r w:rsidR="002514B0">
        <w:t xml:space="preserve"> </w:t>
      </w:r>
      <w:r w:rsidRPr="003C7F6D">
        <w:t>opt-in.</w:t>
      </w:r>
      <w:r w:rsidR="002514B0">
        <w:t xml:space="preserve"> </w:t>
      </w:r>
      <w:r w:rsidRPr="003C7F6D">
        <w:t>Those</w:t>
      </w:r>
      <w:r w:rsidR="002514B0">
        <w:t xml:space="preserve"> </w:t>
      </w:r>
      <w:r w:rsidRPr="003C7F6D">
        <w:lastRenderedPageBreak/>
        <w:t>that</w:t>
      </w:r>
      <w:r w:rsidR="002514B0">
        <w:t xml:space="preserve"> </w:t>
      </w:r>
      <w:r w:rsidRPr="003C7F6D">
        <w:t>opt-in</w:t>
      </w:r>
      <w:r w:rsidR="002514B0">
        <w:t xml:space="preserve"> </w:t>
      </w:r>
      <w:r w:rsidRPr="003C7F6D">
        <w:t>will</w:t>
      </w:r>
      <w:r w:rsidR="002514B0">
        <w:t xml:space="preserve"> </w:t>
      </w:r>
      <w:r w:rsidRPr="003C7F6D">
        <w:t>/</w:t>
      </w:r>
      <w:r w:rsidR="002514B0">
        <w:t xml:space="preserve"> </w:t>
      </w:r>
      <w:r w:rsidRPr="003C7F6D">
        <w:t>can</w:t>
      </w:r>
      <w:r w:rsidR="002514B0">
        <w:t xml:space="preserve"> </w:t>
      </w:r>
      <w:r w:rsidRPr="003C7F6D">
        <w:t>be</w:t>
      </w:r>
      <w:r w:rsidR="002514B0">
        <w:t xml:space="preserve"> </w:t>
      </w:r>
      <w:r w:rsidRPr="003C7F6D">
        <w:t>given</w:t>
      </w:r>
      <w:r w:rsidR="002514B0">
        <w:t xml:space="preserve"> </w:t>
      </w:r>
      <w:r w:rsidRPr="003C7F6D">
        <w:t>a</w:t>
      </w:r>
      <w:r w:rsidR="002514B0">
        <w:t xml:space="preserve"> </w:t>
      </w:r>
      <w:r w:rsidRPr="003C7F6D">
        <w:t>simple</w:t>
      </w:r>
      <w:r w:rsidR="002514B0">
        <w:t xml:space="preserve"> </w:t>
      </w:r>
      <w:r w:rsidRPr="003C7F6D">
        <w:t>training</w:t>
      </w:r>
      <w:r w:rsidR="002514B0">
        <w:t xml:space="preserve"> </w:t>
      </w:r>
      <w:r w:rsidRPr="003C7F6D">
        <w:t>video</w:t>
      </w:r>
      <w:r w:rsidR="002514B0">
        <w:t xml:space="preserve"> </w:t>
      </w:r>
      <w:r w:rsidRPr="003C7F6D">
        <w:t>link</w:t>
      </w:r>
      <w:r w:rsidR="002514B0">
        <w:t xml:space="preserve"> </w:t>
      </w:r>
      <w:r w:rsidRPr="003C7F6D">
        <w:t>(a</w:t>
      </w:r>
      <w:r w:rsidR="002514B0">
        <w:t xml:space="preserve"> </w:t>
      </w:r>
      <w:r w:rsidRPr="003C7F6D">
        <w:t>TED</w:t>
      </w:r>
      <w:r w:rsidR="002514B0">
        <w:t xml:space="preserve"> </w:t>
      </w:r>
      <w:r w:rsidRPr="003C7F6D">
        <w:t>talk)</w:t>
      </w:r>
      <w:r w:rsidR="002514B0">
        <w:t xml:space="preserve"> </w:t>
      </w:r>
      <w:r w:rsidRPr="003C7F6D">
        <w:t>to</w:t>
      </w:r>
      <w:r w:rsidR="002514B0">
        <w:t xml:space="preserve"> </w:t>
      </w:r>
      <w:r w:rsidRPr="003C7F6D">
        <w:t>learn</w:t>
      </w:r>
      <w:r w:rsidR="002514B0">
        <w:t xml:space="preserve"> </w:t>
      </w:r>
      <w:r w:rsidRPr="003C7F6D">
        <w:t>about</w:t>
      </w:r>
      <w:r w:rsidR="002514B0">
        <w:t xml:space="preserve"> </w:t>
      </w:r>
      <w:r w:rsidRPr="003C7F6D">
        <w:t>it</w:t>
      </w:r>
      <w:r>
        <w:t>.</w:t>
      </w:r>
      <w:r w:rsidR="002514B0">
        <w:t xml:space="preserve"> </w:t>
      </w:r>
      <w:r w:rsidRPr="003C7F6D">
        <w:t>CLEP</w:t>
      </w:r>
      <w:r w:rsidR="002514B0">
        <w:t xml:space="preserve"> </w:t>
      </w:r>
      <w:r w:rsidRPr="003C7F6D">
        <w:t>is</w:t>
      </w:r>
      <w:r w:rsidR="002514B0">
        <w:t xml:space="preserve"> </w:t>
      </w:r>
      <w:r w:rsidRPr="003C7F6D">
        <w:t>far,</w:t>
      </w:r>
      <w:r w:rsidR="002514B0">
        <w:t xml:space="preserve"> </w:t>
      </w:r>
      <w:r w:rsidRPr="003C7F6D">
        <w:t>far</w:t>
      </w:r>
      <w:r w:rsidR="002514B0">
        <w:t xml:space="preserve"> </w:t>
      </w:r>
      <w:r w:rsidRPr="003C7F6D">
        <w:t>less</w:t>
      </w:r>
      <w:r w:rsidR="002514B0">
        <w:t xml:space="preserve"> </w:t>
      </w:r>
      <w:r w:rsidRPr="003C7F6D">
        <w:t>complicated</w:t>
      </w:r>
      <w:r w:rsidR="002514B0">
        <w:t xml:space="preserve"> </w:t>
      </w:r>
      <w:r w:rsidRPr="003C7F6D">
        <w:t>than</w:t>
      </w:r>
      <w:r w:rsidR="002514B0">
        <w:t xml:space="preserve"> </w:t>
      </w:r>
      <w:r w:rsidRPr="003C7F6D">
        <w:t>the</w:t>
      </w:r>
      <w:r w:rsidR="002514B0">
        <w:t xml:space="preserve"> </w:t>
      </w:r>
      <w:r w:rsidRPr="003C7F6D">
        <w:t>typical</w:t>
      </w:r>
      <w:r w:rsidR="002514B0">
        <w:t xml:space="preserve"> </w:t>
      </w:r>
      <w:r w:rsidRPr="003C7F6D">
        <w:t>Rate</w:t>
      </w:r>
      <w:r w:rsidR="002514B0">
        <w:t xml:space="preserve"> </w:t>
      </w:r>
      <w:r w:rsidRPr="003C7F6D">
        <w:t>Case</w:t>
      </w:r>
      <w:r w:rsidR="002514B0">
        <w:t xml:space="preserve"> </w:t>
      </w:r>
      <w:r w:rsidRPr="003C7F6D">
        <w:t>(and</w:t>
      </w:r>
      <w:r w:rsidR="002514B0">
        <w:t xml:space="preserve"> </w:t>
      </w:r>
      <w:r w:rsidRPr="003C7F6D">
        <w:t>as</w:t>
      </w:r>
      <w:r w:rsidR="002514B0">
        <w:t xml:space="preserve"> </w:t>
      </w:r>
      <w:r w:rsidRPr="003C7F6D">
        <w:t>we</w:t>
      </w:r>
      <w:r w:rsidR="002514B0">
        <w:t xml:space="preserve"> </w:t>
      </w:r>
      <w:r w:rsidRPr="003C7F6D">
        <w:t>will</w:t>
      </w:r>
      <w:r w:rsidR="002514B0">
        <w:t xml:space="preserve"> </w:t>
      </w:r>
      <w:r w:rsidRPr="003C7F6D">
        <w:t>develop</w:t>
      </w:r>
      <w:r w:rsidR="002514B0">
        <w:t xml:space="preserve"> </w:t>
      </w:r>
      <w:r w:rsidRPr="003C7F6D">
        <w:t>later</w:t>
      </w:r>
      <w:r w:rsidR="002514B0">
        <w:t xml:space="preserve"> </w:t>
      </w:r>
      <w:r w:rsidRPr="003C7F6D">
        <w:t>in</w:t>
      </w:r>
      <w:r w:rsidR="002514B0">
        <w:t xml:space="preserve"> </w:t>
      </w:r>
      <w:r w:rsidRPr="003C7F6D">
        <w:t>this</w:t>
      </w:r>
      <w:r w:rsidR="002514B0">
        <w:t xml:space="preserve"> </w:t>
      </w:r>
      <w:r w:rsidRPr="003C7F6D">
        <w:t>brief,</w:t>
      </w:r>
      <w:r w:rsidR="002514B0">
        <w:t xml:space="preserve"> </w:t>
      </w:r>
      <w:r w:rsidRPr="003C7F6D">
        <w:t>Rate</w:t>
      </w:r>
      <w:r w:rsidR="002514B0">
        <w:t xml:space="preserve"> </w:t>
      </w:r>
      <w:r w:rsidRPr="003C7F6D">
        <w:t>Cases</w:t>
      </w:r>
      <w:r w:rsidR="002514B0">
        <w:t xml:space="preserve"> </w:t>
      </w:r>
      <w:r w:rsidRPr="003C7F6D">
        <w:t>have</w:t>
      </w:r>
      <w:r w:rsidR="002514B0">
        <w:t xml:space="preserve"> </w:t>
      </w:r>
      <w:r w:rsidRPr="003C7F6D">
        <w:t>inherent</w:t>
      </w:r>
      <w:r w:rsidR="002514B0">
        <w:t xml:space="preserve"> </w:t>
      </w:r>
      <w:r w:rsidRPr="003C7F6D">
        <w:t>paradoxes</w:t>
      </w:r>
      <w:r w:rsidR="0000430D">
        <w:t>,</w:t>
      </w:r>
      <w:r w:rsidR="002514B0">
        <w:t xml:space="preserve"> </w:t>
      </w:r>
      <w:r w:rsidRPr="003C7F6D">
        <w:t>if</w:t>
      </w:r>
      <w:r w:rsidR="002514B0">
        <w:t xml:space="preserve"> </w:t>
      </w:r>
      <w:r w:rsidRPr="003C7F6D">
        <w:t>not</w:t>
      </w:r>
      <w:r w:rsidR="002514B0">
        <w:t xml:space="preserve"> </w:t>
      </w:r>
      <w:r w:rsidRPr="003C7F6D">
        <w:t>fully</w:t>
      </w:r>
      <w:r w:rsidR="002514B0">
        <w:t xml:space="preserve"> </w:t>
      </w:r>
      <w:r w:rsidRPr="003C7F6D">
        <w:t>inconsistent</w:t>
      </w:r>
      <w:r w:rsidR="002514B0">
        <w:t xml:space="preserve"> </w:t>
      </w:r>
      <w:r w:rsidRPr="003C7F6D">
        <w:t>assumptions)</w:t>
      </w:r>
      <w:r w:rsidR="002514B0">
        <w:t xml:space="preserve"> </w:t>
      </w:r>
      <w:r w:rsidRPr="003C7F6D">
        <w:t>which</w:t>
      </w:r>
      <w:r w:rsidR="002514B0">
        <w:t xml:space="preserve"> </w:t>
      </w:r>
      <w:r w:rsidRPr="003C7F6D">
        <w:t>ratepayers</w:t>
      </w:r>
      <w:r w:rsidR="002514B0">
        <w:t xml:space="preserve"> </w:t>
      </w:r>
      <w:r w:rsidRPr="003C7F6D">
        <w:t>need</w:t>
      </w:r>
      <w:r w:rsidR="002514B0">
        <w:t xml:space="preserve"> </w:t>
      </w:r>
      <w:r w:rsidRPr="003C7F6D">
        <w:t>not</w:t>
      </w:r>
      <w:r w:rsidR="002514B0">
        <w:t xml:space="preserve"> </w:t>
      </w:r>
      <w:r w:rsidRPr="003C7F6D">
        <w:t>understand</w:t>
      </w:r>
      <w:r w:rsidR="002514B0">
        <w:t xml:space="preserve"> </w:t>
      </w:r>
      <w:r w:rsidRPr="003C7F6D">
        <w:t>in</w:t>
      </w:r>
      <w:r w:rsidR="002514B0">
        <w:t xml:space="preserve"> </w:t>
      </w:r>
      <w:r w:rsidRPr="003C7F6D">
        <w:t>order</w:t>
      </w:r>
      <w:r w:rsidR="002514B0">
        <w:t xml:space="preserve"> </w:t>
      </w:r>
      <w:r w:rsidRPr="003C7F6D">
        <w:t>to</w:t>
      </w:r>
      <w:r w:rsidR="002514B0">
        <w:t xml:space="preserve"> </w:t>
      </w:r>
      <w:r w:rsidRPr="003C7F6D">
        <w:t>pay</w:t>
      </w:r>
      <w:r w:rsidR="002514B0">
        <w:t xml:space="preserve"> </w:t>
      </w:r>
      <w:r w:rsidRPr="003C7F6D">
        <w:t>their</w:t>
      </w:r>
      <w:r w:rsidR="002514B0">
        <w:t xml:space="preserve"> </w:t>
      </w:r>
      <w:r w:rsidRPr="003C7F6D">
        <w:t>bills.</w:t>
      </w:r>
      <w:r w:rsidR="002514B0">
        <w:t xml:space="preserve"> </w:t>
      </w:r>
      <w:r w:rsidRPr="003C7F6D">
        <w:t>And</w:t>
      </w:r>
      <w:r w:rsidR="002514B0">
        <w:t xml:space="preserve"> </w:t>
      </w:r>
      <w:r w:rsidRPr="003C7F6D">
        <w:t>CLEP</w:t>
      </w:r>
      <w:r w:rsidR="002514B0">
        <w:t xml:space="preserve"> </w:t>
      </w:r>
      <w:r w:rsidRPr="003C7F6D">
        <w:t>customers</w:t>
      </w:r>
      <w:r w:rsidR="002514B0">
        <w:t xml:space="preserve"> </w:t>
      </w:r>
      <w:r>
        <w:t>are</w:t>
      </w:r>
      <w:r w:rsidR="002514B0">
        <w:t xml:space="preserve"> </w:t>
      </w:r>
      <w:r w:rsidRPr="003C7F6D">
        <w:t>not</w:t>
      </w:r>
      <w:r w:rsidR="002514B0">
        <w:t xml:space="preserve"> </w:t>
      </w:r>
      <w:r>
        <w:t>required</w:t>
      </w:r>
      <w:r w:rsidR="002514B0">
        <w:t xml:space="preserve"> </w:t>
      </w:r>
      <w:r>
        <w:t>to</w:t>
      </w:r>
      <w:r w:rsidR="002514B0">
        <w:t xml:space="preserve"> </w:t>
      </w:r>
      <w:r w:rsidRPr="003C7F6D">
        <w:t>understand</w:t>
      </w:r>
      <w:r w:rsidR="002514B0">
        <w:t xml:space="preserve"> </w:t>
      </w:r>
      <w:r w:rsidRPr="003C7F6D">
        <w:t>CLEP</w:t>
      </w:r>
      <w:r w:rsidR="002514B0">
        <w:t xml:space="preserve"> </w:t>
      </w:r>
      <w:r w:rsidRPr="003C7F6D">
        <w:t>to</w:t>
      </w:r>
      <w:r w:rsidR="002514B0">
        <w:t xml:space="preserve"> </w:t>
      </w:r>
      <w:r>
        <w:t>benefit</w:t>
      </w:r>
      <w:r w:rsidR="002514B0">
        <w:t xml:space="preserve"> </w:t>
      </w:r>
      <w:r>
        <w:t>from</w:t>
      </w:r>
      <w:r w:rsidR="002514B0">
        <w:t xml:space="preserve"> </w:t>
      </w:r>
      <w:r w:rsidRPr="003C7F6D">
        <w:t>its</w:t>
      </w:r>
      <w:r w:rsidR="002514B0">
        <w:t xml:space="preserve"> </w:t>
      </w:r>
      <w:r w:rsidRPr="003C7F6D">
        <w:t>cost-effectiveness.</w:t>
      </w:r>
      <w:r w:rsidR="002514B0">
        <w:t xml:space="preserve"> </w:t>
      </w:r>
    </w:p>
    <w:p w14:paraId="4F533AD5" w14:textId="03C23537" w:rsidR="00064848" w:rsidRPr="003C7F6D" w:rsidRDefault="00A75C7E" w:rsidP="00C35CBD">
      <w:pPr>
        <w:pStyle w:val="Quote"/>
      </w:pPr>
      <w:r>
        <w:t>“</w:t>
      </w:r>
      <w:r w:rsidR="00064848" w:rsidRPr="003C7F6D">
        <w:t>The</w:t>
      </w:r>
      <w:r w:rsidR="002514B0">
        <w:t xml:space="preserve"> </w:t>
      </w:r>
      <w:r w:rsidR="00064848" w:rsidRPr="003C7F6D">
        <w:t>Advisors</w:t>
      </w:r>
      <w:r w:rsidR="002514B0">
        <w:t xml:space="preserve"> </w:t>
      </w:r>
      <w:r w:rsidR="00064848" w:rsidRPr="003C7F6D">
        <w:t>believe</w:t>
      </w:r>
      <w:r w:rsidR="002514B0">
        <w:t xml:space="preserve"> </w:t>
      </w:r>
      <w:r w:rsidR="00064848" w:rsidRPr="003C7F6D">
        <w:t>that</w:t>
      </w:r>
      <w:r w:rsidR="002514B0">
        <w:t xml:space="preserve"> </w:t>
      </w:r>
      <w:r w:rsidR="00064848" w:rsidRPr="003C7F6D">
        <w:t>the</w:t>
      </w:r>
      <w:r w:rsidR="002514B0">
        <w:t xml:space="preserve"> </w:t>
      </w:r>
      <w:r w:rsidR="00064848" w:rsidRPr="003C7F6D">
        <w:t>most</w:t>
      </w:r>
      <w:r w:rsidR="002514B0">
        <w:t xml:space="preserve"> </w:t>
      </w:r>
      <w:r w:rsidR="00064848" w:rsidRPr="003C7F6D">
        <w:t>likely</w:t>
      </w:r>
      <w:r w:rsidR="002514B0">
        <w:t xml:space="preserve"> </w:t>
      </w:r>
      <w:r w:rsidR="00064848" w:rsidRPr="003C7F6D">
        <w:t>outcome</w:t>
      </w:r>
      <w:r w:rsidR="002514B0">
        <w:t xml:space="preserve"> </w:t>
      </w:r>
      <w:r w:rsidR="00064848" w:rsidRPr="003C7F6D">
        <w:t>of</w:t>
      </w:r>
      <w:r w:rsidR="002514B0">
        <w:t xml:space="preserve"> </w:t>
      </w:r>
      <w:r w:rsidR="00064848" w:rsidRPr="003C7F6D">
        <w:t>implementing</w:t>
      </w:r>
      <w:r w:rsidR="002514B0">
        <w:t xml:space="preserve"> </w:t>
      </w:r>
      <w:r w:rsidR="00064848" w:rsidRPr="003C7F6D">
        <w:t>CLEP</w:t>
      </w:r>
      <w:r w:rsidR="002514B0">
        <w:t xml:space="preserve"> </w:t>
      </w:r>
      <w:r w:rsidR="00064848" w:rsidRPr="003C7F6D">
        <w:t>would</w:t>
      </w:r>
      <w:r w:rsidR="002514B0">
        <w:t xml:space="preserve"> </w:t>
      </w:r>
      <w:r w:rsidR="00064848" w:rsidRPr="003C7F6D">
        <w:t>be</w:t>
      </w:r>
      <w:r w:rsidR="002514B0">
        <w:t xml:space="preserve"> </w:t>
      </w:r>
      <w:r w:rsidR="00064848" w:rsidRPr="003C7F6D">
        <w:t>that</w:t>
      </w:r>
      <w:r w:rsidR="002514B0">
        <w:t xml:space="preserve"> </w:t>
      </w:r>
      <w:r w:rsidR="00064848" w:rsidRPr="003C7F6D">
        <w:t>most</w:t>
      </w:r>
      <w:r w:rsidR="002514B0">
        <w:t xml:space="preserve"> </w:t>
      </w:r>
      <w:r w:rsidR="00064848" w:rsidRPr="003C7F6D">
        <w:t>CLEP</w:t>
      </w:r>
      <w:r w:rsidR="002514B0">
        <w:t xml:space="preserve"> </w:t>
      </w:r>
      <w:r w:rsidR="00064848" w:rsidRPr="003C7F6D">
        <w:t>customers</w:t>
      </w:r>
      <w:r w:rsidR="002514B0">
        <w:t xml:space="preserve"> </w:t>
      </w:r>
      <w:r w:rsidR="00064848" w:rsidRPr="003C7F6D">
        <w:t>experience</w:t>
      </w:r>
      <w:r w:rsidR="002514B0">
        <w:t xml:space="preserve"> </w:t>
      </w:r>
      <w:r w:rsidR="00064848" w:rsidRPr="003C7F6D">
        <w:t>difficulty</w:t>
      </w:r>
      <w:r w:rsidR="002514B0">
        <w:t xml:space="preserve"> </w:t>
      </w:r>
      <w:r w:rsidR="00064848" w:rsidRPr="003C7F6D">
        <w:t>in</w:t>
      </w:r>
      <w:r w:rsidR="002514B0">
        <w:t xml:space="preserve"> </w:t>
      </w:r>
      <w:r w:rsidR="00064848" w:rsidRPr="003C7F6D">
        <w:t>managing</w:t>
      </w:r>
      <w:r w:rsidR="002514B0">
        <w:t xml:space="preserve"> </w:t>
      </w:r>
      <w:r w:rsidR="00064848" w:rsidRPr="003C7F6D">
        <w:t>their</w:t>
      </w:r>
      <w:r w:rsidR="002514B0">
        <w:t xml:space="preserve"> </w:t>
      </w:r>
      <w:r w:rsidR="00064848" w:rsidRPr="003C7F6D">
        <w:t>energy</w:t>
      </w:r>
      <w:r w:rsidR="002514B0">
        <w:t xml:space="preserve"> </w:t>
      </w:r>
      <w:r w:rsidR="00064848" w:rsidRPr="003C7F6D">
        <w:t>use</w:t>
      </w:r>
      <w:r w:rsidR="002514B0">
        <w:t xml:space="preserve"> </w:t>
      </w:r>
      <w:r w:rsidR="00064848" w:rsidRPr="003C7F6D">
        <w:t>and</w:t>
      </w:r>
      <w:r w:rsidR="002514B0">
        <w:t xml:space="preserve"> </w:t>
      </w:r>
      <w:r w:rsidR="00064848" w:rsidRPr="003C7F6D">
        <w:t>production</w:t>
      </w:r>
      <w:r w:rsidR="002514B0">
        <w:t xml:space="preserve"> </w:t>
      </w:r>
      <w:r w:rsidR="00064848" w:rsidRPr="003C7F6D">
        <w:t>in</w:t>
      </w:r>
      <w:r w:rsidR="002514B0">
        <w:t xml:space="preserve"> </w:t>
      </w:r>
      <w:r w:rsidR="00064848" w:rsidRPr="003C7F6D">
        <w:t>five-minute</w:t>
      </w:r>
      <w:r w:rsidR="002514B0">
        <w:t xml:space="preserve"> </w:t>
      </w:r>
      <w:r w:rsidR="00064848" w:rsidRPr="003C7F6D">
        <w:t>increments,</w:t>
      </w:r>
      <w:r w:rsidR="002514B0">
        <w:t xml:space="preserve"> </w:t>
      </w:r>
      <w:r w:rsidR="00064848" w:rsidRPr="003C7F6D">
        <w:t>resulting</w:t>
      </w:r>
      <w:r w:rsidR="002514B0">
        <w:t xml:space="preserve"> </w:t>
      </w:r>
      <w:r w:rsidR="00064848" w:rsidRPr="003C7F6D">
        <w:t>in</w:t>
      </w:r>
      <w:r w:rsidR="002514B0">
        <w:t xml:space="preserve"> </w:t>
      </w:r>
      <w:r w:rsidR="00064848" w:rsidRPr="003C7F6D">
        <w:t>increased</w:t>
      </w:r>
      <w:r w:rsidR="002514B0">
        <w:t xml:space="preserve"> </w:t>
      </w:r>
      <w:r w:rsidR="00064848" w:rsidRPr="003C7F6D">
        <w:t>electricity</w:t>
      </w:r>
      <w:r w:rsidR="002514B0">
        <w:t xml:space="preserve"> </w:t>
      </w:r>
      <w:r w:rsidR="00064848" w:rsidRPr="003C7F6D">
        <w:t>bills</w:t>
      </w:r>
      <w:r w:rsidR="002514B0">
        <w:t xml:space="preserve"> </w:t>
      </w:r>
      <w:r w:rsidR="00064848" w:rsidRPr="003C7F6D">
        <w:t>and</w:t>
      </w:r>
      <w:r w:rsidR="002514B0">
        <w:t xml:space="preserve"> </w:t>
      </w:r>
      <w:r w:rsidR="00064848" w:rsidRPr="003C7F6D">
        <w:t>frustration.”</w:t>
      </w:r>
      <w:r w:rsidR="00CE0773">
        <w:rPr>
          <w:rStyle w:val="FootnoteReference"/>
        </w:rPr>
        <w:footnoteReference w:id="16"/>
      </w:r>
      <w:r w:rsidR="002514B0">
        <w:t xml:space="preserve"> </w:t>
      </w:r>
    </w:p>
    <w:p w14:paraId="1F0C392A" w14:textId="639543FD" w:rsidR="0049455B" w:rsidRDefault="00064848" w:rsidP="00064848">
      <w:pPr>
        <w:pStyle w:val="BodyText"/>
      </w:pPr>
      <w:r w:rsidRPr="003C7F6D">
        <w:t>This</w:t>
      </w:r>
      <w:r w:rsidR="002514B0">
        <w:t xml:space="preserve"> </w:t>
      </w:r>
      <w:r w:rsidRPr="003C7F6D">
        <w:t>is</w:t>
      </w:r>
      <w:r w:rsidR="002514B0">
        <w:t xml:space="preserve"> </w:t>
      </w:r>
      <w:r w:rsidRPr="003C7F6D">
        <w:t>a</w:t>
      </w:r>
      <w:r>
        <w:t>n</w:t>
      </w:r>
      <w:r w:rsidR="002514B0">
        <w:t xml:space="preserve"> </w:t>
      </w:r>
      <w:r w:rsidRPr="003C7F6D">
        <w:t>unfounded</w:t>
      </w:r>
      <w:r w:rsidR="002514B0">
        <w:t xml:space="preserve"> </w:t>
      </w:r>
      <w:r w:rsidRPr="003C7F6D">
        <w:t>assumption</w:t>
      </w:r>
      <w:r w:rsidR="00CE0773">
        <w:t>; t</w:t>
      </w:r>
      <w:r w:rsidRPr="003C7F6D">
        <w:t>o</w:t>
      </w:r>
      <w:r w:rsidR="002514B0">
        <w:t xml:space="preserve"> </w:t>
      </w:r>
      <w:r w:rsidRPr="003C7F6D">
        <w:t>make</w:t>
      </w:r>
      <w:r w:rsidR="002514B0">
        <w:t xml:space="preserve"> </w:t>
      </w:r>
      <w:r w:rsidRPr="003C7F6D">
        <w:t>this</w:t>
      </w:r>
      <w:r w:rsidR="002514B0">
        <w:t xml:space="preserve"> </w:t>
      </w:r>
      <w:r w:rsidRPr="003C7F6D">
        <w:t>argument,</w:t>
      </w:r>
      <w:r w:rsidR="002514B0">
        <w:t xml:space="preserve"> </w:t>
      </w:r>
      <w:r>
        <w:t>one</w:t>
      </w:r>
      <w:r w:rsidR="002514B0">
        <w:t xml:space="preserve"> </w:t>
      </w:r>
      <w:r>
        <w:t>would</w:t>
      </w:r>
      <w:r w:rsidR="002514B0">
        <w:t xml:space="preserve"> </w:t>
      </w:r>
      <w:r>
        <w:t>have</w:t>
      </w:r>
      <w:r w:rsidR="002514B0">
        <w:t xml:space="preserve"> </w:t>
      </w:r>
      <w:r>
        <w:t>to</w:t>
      </w:r>
      <w:r w:rsidR="002514B0">
        <w:t xml:space="preserve"> </w:t>
      </w:r>
      <w:r>
        <w:t>assert</w:t>
      </w:r>
      <w:r w:rsidR="002514B0">
        <w:t xml:space="preserve"> </w:t>
      </w:r>
      <w:r>
        <w:t>that</w:t>
      </w:r>
      <w:r w:rsidR="002514B0">
        <w:t xml:space="preserve"> </w:t>
      </w:r>
      <w:r w:rsidRPr="003C7F6D">
        <w:t>the</w:t>
      </w:r>
      <w:r w:rsidR="002514B0">
        <w:t xml:space="preserve"> </w:t>
      </w:r>
      <w:r w:rsidRPr="003C7F6D">
        <w:t>customers</w:t>
      </w:r>
      <w:r w:rsidR="002514B0">
        <w:t xml:space="preserve"> </w:t>
      </w:r>
      <w:r w:rsidRPr="003C7F6D">
        <w:t>can’t</w:t>
      </w:r>
      <w:r w:rsidR="002514B0">
        <w:t xml:space="preserve"> </w:t>
      </w:r>
      <w:r w:rsidRPr="003C7F6D">
        <w:t>understand</w:t>
      </w:r>
      <w:r w:rsidR="002514B0">
        <w:t xml:space="preserve"> </w:t>
      </w:r>
      <w:r w:rsidRPr="003C7F6D">
        <w:t>how</w:t>
      </w:r>
      <w:r w:rsidR="002514B0">
        <w:t xml:space="preserve"> </w:t>
      </w:r>
      <w:r w:rsidRPr="003C7F6D">
        <w:t>to</w:t>
      </w:r>
      <w:r w:rsidR="002514B0">
        <w:t xml:space="preserve"> </w:t>
      </w:r>
      <w:r w:rsidRPr="003C7F6D">
        <w:t>put</w:t>
      </w:r>
      <w:r w:rsidR="002514B0">
        <w:t xml:space="preserve"> </w:t>
      </w:r>
      <w:r w:rsidRPr="003C7F6D">
        <w:t>a</w:t>
      </w:r>
      <w:r w:rsidR="002514B0">
        <w:t xml:space="preserve"> </w:t>
      </w:r>
      <w:r w:rsidRPr="003C7F6D">
        <w:t>timer</w:t>
      </w:r>
      <w:r w:rsidR="002514B0">
        <w:t xml:space="preserve"> </w:t>
      </w:r>
      <w:r w:rsidRPr="003C7F6D">
        <w:t>on</w:t>
      </w:r>
      <w:r w:rsidR="002514B0">
        <w:t xml:space="preserve"> </w:t>
      </w:r>
      <w:r w:rsidRPr="003C7F6D">
        <w:t>a</w:t>
      </w:r>
      <w:r w:rsidR="002514B0">
        <w:t xml:space="preserve"> </w:t>
      </w:r>
      <w:r w:rsidRPr="003C7F6D">
        <w:t>hot</w:t>
      </w:r>
      <w:r w:rsidR="002514B0">
        <w:t xml:space="preserve"> </w:t>
      </w:r>
      <w:r w:rsidRPr="003C7F6D">
        <w:t>water</w:t>
      </w:r>
      <w:r w:rsidR="002514B0">
        <w:t xml:space="preserve"> </w:t>
      </w:r>
      <w:r w:rsidRPr="003C7F6D">
        <w:t>heater</w:t>
      </w:r>
      <w:r w:rsidR="002514B0">
        <w:t xml:space="preserve"> </w:t>
      </w:r>
      <w:r w:rsidRPr="003C7F6D">
        <w:t>or</w:t>
      </w:r>
      <w:r w:rsidR="002514B0">
        <w:t xml:space="preserve"> </w:t>
      </w:r>
      <w:r w:rsidRPr="003C7F6D">
        <w:t>use</w:t>
      </w:r>
      <w:r w:rsidR="002514B0">
        <w:t xml:space="preserve"> </w:t>
      </w:r>
      <w:r w:rsidRPr="003C7F6D">
        <w:t>a</w:t>
      </w:r>
      <w:r w:rsidR="002514B0">
        <w:t xml:space="preserve"> </w:t>
      </w:r>
      <w:r w:rsidRPr="003C7F6D">
        <w:t>program</w:t>
      </w:r>
      <w:r w:rsidR="000F09C9">
        <w:t>m</w:t>
      </w:r>
      <w:r w:rsidRPr="003C7F6D">
        <w:t>able</w:t>
      </w:r>
      <w:r w:rsidR="002514B0">
        <w:t xml:space="preserve"> </w:t>
      </w:r>
      <w:r w:rsidRPr="003C7F6D">
        <w:t>thermostat.</w:t>
      </w:r>
      <w:r w:rsidR="002514B0">
        <w:t xml:space="preserve"> </w:t>
      </w:r>
      <w:r w:rsidRPr="003C7F6D">
        <w:t>CLEP</w:t>
      </w:r>
      <w:r w:rsidR="002514B0">
        <w:t xml:space="preserve"> </w:t>
      </w:r>
      <w:r w:rsidRPr="003C7F6D">
        <w:t>is</w:t>
      </w:r>
      <w:r w:rsidR="002514B0">
        <w:t xml:space="preserve"> </w:t>
      </w:r>
      <w:r w:rsidRPr="003C7F6D">
        <w:t>designed</w:t>
      </w:r>
      <w:r w:rsidR="002514B0">
        <w:t xml:space="preserve"> </w:t>
      </w:r>
      <w:r w:rsidRPr="003C7F6D">
        <w:t>to</w:t>
      </w:r>
      <w:r w:rsidR="002514B0">
        <w:t xml:space="preserve"> </w:t>
      </w:r>
      <w:r w:rsidRPr="003C7F6D">
        <w:t>work</w:t>
      </w:r>
      <w:r w:rsidR="002514B0">
        <w:t xml:space="preserve"> </w:t>
      </w:r>
      <w:r>
        <w:t>with</w:t>
      </w:r>
      <w:r w:rsidR="002514B0">
        <w:t xml:space="preserve"> </w:t>
      </w:r>
      <w:r>
        <w:t>simple</w:t>
      </w:r>
      <w:r w:rsidR="002514B0">
        <w:t xml:space="preserve"> </w:t>
      </w:r>
      <w:r>
        <w:t>tools</w:t>
      </w:r>
      <w:r w:rsidR="002514B0">
        <w:t xml:space="preserve"> </w:t>
      </w:r>
      <w:r w:rsidRPr="003C7F6D">
        <w:t>much</w:t>
      </w:r>
      <w:r w:rsidR="002514B0">
        <w:t xml:space="preserve"> </w:t>
      </w:r>
      <w:r w:rsidRPr="003C7F6D">
        <w:t>like</w:t>
      </w:r>
      <w:r w:rsidR="002514B0">
        <w:t xml:space="preserve"> </w:t>
      </w:r>
      <w:r w:rsidRPr="003C7F6D">
        <w:t>a</w:t>
      </w:r>
      <w:r w:rsidR="002514B0">
        <w:t xml:space="preserve"> </w:t>
      </w:r>
      <w:r w:rsidRPr="003C7F6D">
        <w:t>program</w:t>
      </w:r>
      <w:r w:rsidR="000F09C9">
        <w:t>m</w:t>
      </w:r>
      <w:r w:rsidRPr="003C7F6D">
        <w:t>able</w:t>
      </w:r>
      <w:r w:rsidR="002514B0">
        <w:t xml:space="preserve"> </w:t>
      </w:r>
      <w:r w:rsidRPr="003C7F6D">
        <w:t>thermostat.</w:t>
      </w:r>
      <w:r w:rsidR="002514B0">
        <w:t xml:space="preserve"> </w:t>
      </w:r>
      <w:r w:rsidRPr="003C7F6D">
        <w:t>Why</w:t>
      </w:r>
      <w:r w:rsidR="002514B0">
        <w:t xml:space="preserve"> </w:t>
      </w:r>
      <w:r w:rsidRPr="003C7F6D">
        <w:t>would</w:t>
      </w:r>
      <w:r w:rsidR="002514B0">
        <w:t xml:space="preserve"> </w:t>
      </w:r>
      <w:r>
        <w:t>anyone</w:t>
      </w:r>
      <w:r w:rsidR="002514B0">
        <w:t xml:space="preserve"> </w:t>
      </w:r>
      <w:r w:rsidRPr="003C7F6D">
        <w:t>argue</w:t>
      </w:r>
      <w:r w:rsidR="002514B0">
        <w:t xml:space="preserve"> </w:t>
      </w:r>
      <w:r w:rsidRPr="003C7F6D">
        <w:t>against</w:t>
      </w:r>
      <w:r w:rsidR="002514B0">
        <w:t xml:space="preserve"> </w:t>
      </w:r>
      <w:r w:rsidRPr="003C7F6D">
        <w:t>empowering</w:t>
      </w:r>
      <w:r w:rsidR="002514B0">
        <w:t xml:space="preserve"> </w:t>
      </w:r>
      <w:r w:rsidRPr="003C7F6D">
        <w:t>the</w:t>
      </w:r>
      <w:r w:rsidR="002514B0">
        <w:t xml:space="preserve"> </w:t>
      </w:r>
      <w:r w:rsidRPr="003C7F6D">
        <w:t>Council</w:t>
      </w:r>
      <w:r>
        <w:t>’</w:t>
      </w:r>
      <w:r w:rsidRPr="003C7F6D">
        <w:t>s</w:t>
      </w:r>
      <w:r w:rsidR="002514B0">
        <w:t xml:space="preserve"> </w:t>
      </w:r>
      <w:r w:rsidRPr="003C7F6D">
        <w:t>constituents</w:t>
      </w:r>
      <w:r w:rsidR="002514B0">
        <w:t xml:space="preserve"> </w:t>
      </w:r>
      <w:r w:rsidRPr="003C7F6D">
        <w:t>to</w:t>
      </w:r>
      <w:r w:rsidR="002514B0">
        <w:t xml:space="preserve"> </w:t>
      </w:r>
      <w:r w:rsidRPr="003C7F6D">
        <w:t>be</w:t>
      </w:r>
      <w:r w:rsidR="002514B0">
        <w:t xml:space="preserve"> </w:t>
      </w:r>
      <w:r w:rsidRPr="003C7F6D">
        <w:t>in</w:t>
      </w:r>
      <w:r w:rsidR="002514B0">
        <w:t xml:space="preserve"> </w:t>
      </w:r>
      <w:r w:rsidRPr="003C7F6D">
        <w:t>more</w:t>
      </w:r>
      <w:r w:rsidR="002514B0">
        <w:t xml:space="preserve"> </w:t>
      </w:r>
      <w:r w:rsidRPr="003C7F6D">
        <w:t>control</w:t>
      </w:r>
      <w:r w:rsidR="002514B0">
        <w:t xml:space="preserve"> </w:t>
      </w:r>
      <w:r w:rsidRPr="003C7F6D">
        <w:t>of</w:t>
      </w:r>
      <w:r w:rsidR="002514B0">
        <w:t xml:space="preserve"> </w:t>
      </w:r>
      <w:r w:rsidRPr="003C7F6D">
        <w:t>their</w:t>
      </w:r>
      <w:r w:rsidR="002514B0">
        <w:t xml:space="preserve"> </w:t>
      </w:r>
      <w:r w:rsidRPr="003C7F6D">
        <w:t>lives?</w:t>
      </w:r>
      <w:r w:rsidR="002514B0">
        <w:t xml:space="preserve"> </w:t>
      </w:r>
      <w:r>
        <w:t>Today’s</w:t>
      </w:r>
      <w:r w:rsidR="002514B0">
        <w:t xml:space="preserve"> </w:t>
      </w:r>
      <w:r>
        <w:t>consumers</w:t>
      </w:r>
      <w:r w:rsidR="002514B0">
        <w:t xml:space="preserve"> </w:t>
      </w:r>
      <w:r>
        <w:t>are</w:t>
      </w:r>
      <w:r w:rsidR="002514B0">
        <w:t xml:space="preserve"> </w:t>
      </w:r>
      <w:r>
        <w:t>demanding</w:t>
      </w:r>
      <w:r w:rsidR="002514B0">
        <w:t xml:space="preserve"> </w:t>
      </w:r>
      <w:r>
        <w:t>more</w:t>
      </w:r>
      <w:r w:rsidR="002514B0">
        <w:t xml:space="preserve"> </w:t>
      </w:r>
      <w:r>
        <w:t>and</w:t>
      </w:r>
      <w:r w:rsidR="002514B0">
        <w:t xml:space="preserve"> </w:t>
      </w:r>
      <w:r>
        <w:t>more</w:t>
      </w:r>
      <w:r w:rsidR="002514B0">
        <w:t xml:space="preserve"> </w:t>
      </w:r>
      <w:r>
        <w:t>control</w:t>
      </w:r>
      <w:r w:rsidR="002514B0">
        <w:t xml:space="preserve"> </w:t>
      </w:r>
      <w:r>
        <w:t>over</w:t>
      </w:r>
      <w:r w:rsidR="002514B0">
        <w:t xml:space="preserve"> </w:t>
      </w:r>
      <w:r>
        <w:t>their</w:t>
      </w:r>
      <w:r w:rsidR="002514B0">
        <w:t xml:space="preserve"> </w:t>
      </w:r>
      <w:r>
        <w:t>homes’</w:t>
      </w:r>
      <w:r w:rsidR="002514B0">
        <w:t xml:space="preserve"> </w:t>
      </w:r>
      <w:r>
        <w:t>environments</w:t>
      </w:r>
      <w:r w:rsidR="002514B0">
        <w:t xml:space="preserve"> </w:t>
      </w:r>
      <w:r>
        <w:t>through</w:t>
      </w:r>
      <w:r w:rsidR="002514B0">
        <w:t xml:space="preserve"> </w:t>
      </w:r>
      <w:r>
        <w:t>internet</w:t>
      </w:r>
      <w:r w:rsidR="002514B0">
        <w:t xml:space="preserve"> </w:t>
      </w:r>
      <w:r>
        <w:t>control</w:t>
      </w:r>
      <w:r w:rsidR="002514B0">
        <w:t xml:space="preserve"> </w:t>
      </w:r>
      <w:r>
        <w:t>of</w:t>
      </w:r>
      <w:r w:rsidR="002514B0">
        <w:t xml:space="preserve"> </w:t>
      </w:r>
      <w:r>
        <w:t>thermostat</w:t>
      </w:r>
      <w:r w:rsidR="0049455B">
        <w:t>s</w:t>
      </w:r>
      <w:r>
        <w:t>,</w:t>
      </w:r>
      <w:r w:rsidR="002514B0">
        <w:t xml:space="preserve"> </w:t>
      </w:r>
      <w:r>
        <w:t>devices,</w:t>
      </w:r>
      <w:r w:rsidR="002514B0">
        <w:t xml:space="preserve"> </w:t>
      </w:r>
      <w:r>
        <w:t>locks,</w:t>
      </w:r>
      <w:r w:rsidR="002514B0">
        <w:t xml:space="preserve"> </w:t>
      </w:r>
      <w:r>
        <w:t>home</w:t>
      </w:r>
      <w:r w:rsidR="002514B0">
        <w:t xml:space="preserve"> </w:t>
      </w:r>
      <w:r>
        <w:t>security</w:t>
      </w:r>
      <w:r w:rsidR="002514B0">
        <w:t xml:space="preserve"> </w:t>
      </w:r>
      <w:r>
        <w:t>and</w:t>
      </w:r>
      <w:r w:rsidR="002514B0">
        <w:t xml:space="preserve"> </w:t>
      </w:r>
      <w:r>
        <w:t>video</w:t>
      </w:r>
      <w:r w:rsidR="002514B0">
        <w:t xml:space="preserve"> </w:t>
      </w:r>
      <w:r>
        <w:t>monitoring.</w:t>
      </w:r>
      <w:r w:rsidR="002514B0">
        <w:t xml:space="preserve"> </w:t>
      </w:r>
    </w:p>
    <w:p w14:paraId="7F2D142F" w14:textId="77777777" w:rsidR="0049455B" w:rsidRDefault="0049455B" w:rsidP="00064848">
      <w:pPr>
        <w:pStyle w:val="BodyText"/>
      </w:pPr>
    </w:p>
    <w:p w14:paraId="5F79ED66" w14:textId="77777777" w:rsidR="0049455B" w:rsidRDefault="0049455B">
      <w:pPr>
        <w:widowControl/>
        <w:rPr>
          <w:sz w:val="24"/>
          <w:szCs w:val="25"/>
        </w:rPr>
      </w:pPr>
      <w:r>
        <w:br w:type="page"/>
      </w:r>
    </w:p>
    <w:p w14:paraId="243EF9D2" w14:textId="584A34D6" w:rsidR="00064848" w:rsidRPr="005E0F9D" w:rsidRDefault="005E0F9D" w:rsidP="00064848">
      <w:pPr>
        <w:pStyle w:val="Heading1"/>
        <w:rPr>
          <w:color w:val="000000" w:themeColor="text1"/>
        </w:rPr>
      </w:pPr>
      <w:bookmarkStart w:id="48" w:name="_Toc16317729"/>
      <w:bookmarkStart w:id="49" w:name="_Toc16254893"/>
      <w:bookmarkStart w:id="50" w:name="_Toc16165402"/>
      <w:bookmarkStart w:id="51" w:name="_Toc16175734"/>
      <w:r w:rsidRPr="005E0F9D">
        <w:lastRenderedPageBreak/>
        <w:t>CLEP</w:t>
      </w:r>
      <w:r w:rsidR="002514B0">
        <w:t xml:space="preserve"> </w:t>
      </w:r>
      <w:r w:rsidR="00223DA3">
        <w:t>s</w:t>
      </w:r>
      <w:r w:rsidRPr="005E0F9D">
        <w:t>upport</w:t>
      </w:r>
      <w:r w:rsidR="00223DA3">
        <w:t>s Issues</w:t>
      </w:r>
      <w:r w:rsidR="008304EE">
        <w:t xml:space="preserve"> of and</w:t>
      </w:r>
      <w:r w:rsidR="00223DA3">
        <w:t xml:space="preserve"> </w:t>
      </w:r>
      <w:r w:rsidR="00A75C7E">
        <w:t>r</w:t>
      </w:r>
      <w:r w:rsidR="008304EE">
        <w:t>elated to those I</w:t>
      </w:r>
      <w:r w:rsidR="00223DA3">
        <w:t>mportant to</w:t>
      </w:r>
      <w:r w:rsidR="002514B0">
        <w:t xml:space="preserve"> </w:t>
      </w:r>
      <w:r w:rsidR="008304EE">
        <w:t xml:space="preserve">other </w:t>
      </w:r>
      <w:r w:rsidR="005A578B" w:rsidRPr="005E0F9D">
        <w:t>Interven</w:t>
      </w:r>
      <w:r w:rsidR="00223DA3">
        <w:t>o</w:t>
      </w:r>
      <w:r w:rsidR="005A578B" w:rsidRPr="005E0F9D">
        <w:t>rs</w:t>
      </w:r>
      <w:r w:rsidR="008304EE">
        <w:t xml:space="preserve"> and the</w:t>
      </w:r>
      <w:r w:rsidR="002514B0">
        <w:t xml:space="preserve"> </w:t>
      </w:r>
      <w:r w:rsidR="00223DA3">
        <w:t>Advisors</w:t>
      </w:r>
      <w:bookmarkEnd w:id="48"/>
      <w:bookmarkEnd w:id="49"/>
      <w:r w:rsidR="00223DA3">
        <w:t xml:space="preserve"> </w:t>
      </w:r>
      <w:bookmarkEnd w:id="50"/>
      <w:bookmarkEnd w:id="51"/>
    </w:p>
    <w:p w14:paraId="1F02B8BF" w14:textId="38AE2073" w:rsidR="00064848" w:rsidRPr="003C7F6D" w:rsidRDefault="00064848" w:rsidP="00064848">
      <w:pPr>
        <w:pStyle w:val="Heading2"/>
      </w:pPr>
      <w:bookmarkStart w:id="52" w:name="_Toc16165403"/>
      <w:bookmarkStart w:id="53" w:name="_Toc16175735"/>
      <w:bookmarkStart w:id="54" w:name="_Toc16317730"/>
      <w:bookmarkStart w:id="55" w:name="_Toc16254894"/>
      <w:r w:rsidRPr="003C7F6D">
        <w:t>3</w:t>
      </w:r>
      <w:r w:rsidR="002514B0">
        <w:t xml:space="preserve"> </w:t>
      </w:r>
      <w:r w:rsidRPr="003C7F6D">
        <w:t>Parties</w:t>
      </w:r>
      <w:r w:rsidR="002514B0">
        <w:t xml:space="preserve"> </w:t>
      </w:r>
      <w:r w:rsidRPr="003C7F6D">
        <w:t>exclu</w:t>
      </w:r>
      <w:r>
        <w:t>de</w:t>
      </w:r>
      <w:r w:rsidR="002514B0">
        <w:t xml:space="preserve"> </w:t>
      </w:r>
      <w:r w:rsidRPr="003C7F6D">
        <w:t>Riders</w:t>
      </w:r>
      <w:r w:rsidR="002514B0">
        <w:t xml:space="preserve"> </w:t>
      </w:r>
      <w:r w:rsidRPr="003C7F6D">
        <w:t>and</w:t>
      </w:r>
      <w:r w:rsidR="002514B0">
        <w:t xml:space="preserve"> </w:t>
      </w:r>
      <w:r w:rsidRPr="003C7F6D">
        <w:t>only</w:t>
      </w:r>
      <w:r w:rsidR="002514B0">
        <w:t xml:space="preserve"> </w:t>
      </w:r>
      <w:r w:rsidRPr="003C7F6D">
        <w:t>use</w:t>
      </w:r>
      <w:r w:rsidR="002514B0">
        <w:t xml:space="preserve"> </w:t>
      </w:r>
      <w:r>
        <w:t>legacy</w:t>
      </w:r>
      <w:r w:rsidR="002514B0">
        <w:t xml:space="preserve"> </w:t>
      </w:r>
      <w:r w:rsidRPr="003C7F6D">
        <w:t>base</w:t>
      </w:r>
      <w:r w:rsidR="002514B0">
        <w:t xml:space="preserve"> </w:t>
      </w:r>
      <w:r w:rsidRPr="003C7F6D">
        <w:t>rates</w:t>
      </w:r>
      <w:r w:rsidR="002514B0">
        <w:t xml:space="preserve"> </w:t>
      </w:r>
      <w:r w:rsidRPr="003C7F6D">
        <w:t>to</w:t>
      </w:r>
      <w:r w:rsidR="002514B0">
        <w:t xml:space="preserve"> </w:t>
      </w:r>
      <w:r>
        <w:t>set</w:t>
      </w:r>
      <w:r w:rsidR="002514B0">
        <w:t xml:space="preserve"> </w:t>
      </w:r>
      <w:r w:rsidRPr="003C7F6D">
        <w:t>Revenue</w:t>
      </w:r>
      <w:r w:rsidR="002514B0">
        <w:t xml:space="preserve"> </w:t>
      </w:r>
      <w:r w:rsidRPr="003C7F6D">
        <w:t>Requirements.</w:t>
      </w:r>
      <w:r>
        <w:rPr>
          <w:rStyle w:val="FootnoteReference"/>
        </w:rPr>
        <w:footnoteReference w:id="17"/>
      </w:r>
      <w:bookmarkEnd w:id="52"/>
      <w:bookmarkEnd w:id="53"/>
      <w:bookmarkEnd w:id="54"/>
      <w:bookmarkEnd w:id="55"/>
    </w:p>
    <w:p w14:paraId="4676277E" w14:textId="33713358" w:rsidR="00064848" w:rsidRDefault="00064848" w:rsidP="00064848">
      <w:pPr>
        <w:ind w:firstLine="720"/>
      </w:pPr>
      <w:r w:rsidRPr="003C7F6D">
        <w:t>ENO</w:t>
      </w:r>
      <w:r w:rsidR="002514B0">
        <w:t xml:space="preserve"> </w:t>
      </w:r>
      <w:r w:rsidRPr="003C7F6D">
        <w:t>propose</w:t>
      </w:r>
      <w:r>
        <w:t>s</w:t>
      </w:r>
      <w:r w:rsidR="002514B0">
        <w:t xml:space="preserve"> </w:t>
      </w:r>
      <w:r w:rsidRPr="003C7F6D">
        <w:t>excluding</w:t>
      </w:r>
      <w:r w:rsidR="002514B0">
        <w:t xml:space="preserve"> </w:t>
      </w:r>
      <w:r w:rsidRPr="003C7F6D">
        <w:t>RIDERS</w:t>
      </w:r>
      <w:r w:rsidR="002514B0">
        <w:t xml:space="preserve"> </w:t>
      </w:r>
      <w:r>
        <w:t>created</w:t>
      </w:r>
      <w:r w:rsidR="002514B0">
        <w:t xml:space="preserve"> </w:t>
      </w:r>
      <w:r>
        <w:t>since</w:t>
      </w:r>
      <w:r w:rsidR="002514B0">
        <w:t xml:space="preserve"> </w:t>
      </w:r>
      <w:r>
        <w:t>2009</w:t>
      </w:r>
      <w:r w:rsidR="002514B0">
        <w:t xml:space="preserve"> </w:t>
      </w:r>
      <w:r w:rsidRPr="003C7F6D">
        <w:t>(or</w:t>
      </w:r>
      <w:r w:rsidR="002514B0">
        <w:t xml:space="preserve"> </w:t>
      </w:r>
      <w:r w:rsidRPr="003C7F6D">
        <w:t>the</w:t>
      </w:r>
      <w:r w:rsidR="002514B0">
        <w:t xml:space="preserve"> </w:t>
      </w:r>
      <w:r w:rsidRPr="003C7F6D">
        <w:t>costs</w:t>
      </w:r>
      <w:r w:rsidR="002514B0">
        <w:t xml:space="preserve"> </w:t>
      </w:r>
      <w:r w:rsidRPr="003C7F6D">
        <w:t>and</w:t>
      </w:r>
      <w:r w:rsidR="002514B0">
        <w:t xml:space="preserve"> </w:t>
      </w:r>
      <w:r w:rsidRPr="003C7F6D">
        <w:t>issues</w:t>
      </w:r>
      <w:r w:rsidR="002514B0">
        <w:t xml:space="preserve"> </w:t>
      </w:r>
      <w:r w:rsidRPr="003C7F6D">
        <w:t>associated</w:t>
      </w:r>
      <w:r w:rsidR="002514B0">
        <w:t xml:space="preserve"> </w:t>
      </w:r>
      <w:r w:rsidRPr="003C7F6D">
        <w:t>with</w:t>
      </w:r>
      <w:r w:rsidR="002514B0">
        <w:t xml:space="preserve"> </w:t>
      </w:r>
      <w:r w:rsidRPr="003C7F6D">
        <w:t>them)</w:t>
      </w:r>
      <w:r w:rsidR="002514B0">
        <w:t xml:space="preserve"> </w:t>
      </w:r>
      <w:r w:rsidRPr="003C7F6D">
        <w:t>from</w:t>
      </w:r>
      <w:r w:rsidR="002514B0">
        <w:t xml:space="preserve"> </w:t>
      </w:r>
      <w:r w:rsidRPr="003C7F6D">
        <w:t>the</w:t>
      </w:r>
      <w:r w:rsidR="002514B0">
        <w:t xml:space="preserve"> </w:t>
      </w:r>
      <w:r w:rsidRPr="003C7F6D">
        <w:t>process</w:t>
      </w:r>
      <w:r w:rsidR="002514B0">
        <w:t xml:space="preserve"> </w:t>
      </w:r>
      <w:r w:rsidRPr="003C7F6D">
        <w:t>to</w:t>
      </w:r>
      <w:r w:rsidR="002514B0">
        <w:t xml:space="preserve"> </w:t>
      </w:r>
      <w:r w:rsidRPr="003C7F6D">
        <w:t>establish</w:t>
      </w:r>
      <w:r w:rsidR="002514B0">
        <w:t xml:space="preserve"> </w:t>
      </w:r>
      <w:r w:rsidRPr="003C7F6D">
        <w:t>the</w:t>
      </w:r>
      <w:r w:rsidR="002514B0">
        <w:t xml:space="preserve"> </w:t>
      </w:r>
      <w:r w:rsidRPr="003C7F6D">
        <w:t>utility’s</w:t>
      </w:r>
      <w:r w:rsidR="002514B0">
        <w:t xml:space="preserve"> </w:t>
      </w:r>
      <w:r w:rsidRPr="003C7F6D">
        <w:t>REVENUE</w:t>
      </w:r>
      <w:r w:rsidR="002514B0">
        <w:t xml:space="preserve"> </w:t>
      </w:r>
      <w:r w:rsidRPr="003C7F6D">
        <w:t>REQUIREMENT.</w:t>
      </w:r>
      <w:r w:rsidR="002514B0">
        <w:t xml:space="preserve"> </w:t>
      </w:r>
      <w:r>
        <w:t>The</w:t>
      </w:r>
      <w:r w:rsidR="002514B0">
        <w:t xml:space="preserve"> </w:t>
      </w:r>
      <w:r>
        <w:t>Advisors</w:t>
      </w:r>
      <w:r w:rsidR="00223DA3">
        <w:t xml:space="preserve"> oppose this approach and</w:t>
      </w:r>
      <w:r w:rsidR="002514B0">
        <w:t xml:space="preserve"> </w:t>
      </w:r>
      <w:r>
        <w:t>claim</w:t>
      </w:r>
      <w:r w:rsidR="002514B0">
        <w:t xml:space="preserve"> </w:t>
      </w:r>
      <w:r>
        <w:t>that</w:t>
      </w:r>
      <w:r w:rsidR="002514B0">
        <w:t xml:space="preserve"> </w:t>
      </w:r>
      <w:r w:rsidR="00F3270C">
        <w:t>ENO’s preference</w:t>
      </w:r>
      <w:r w:rsidR="00CB1458">
        <w:t xml:space="preserve"> for</w:t>
      </w:r>
      <w:r w:rsidR="00223DA3">
        <w:t xml:space="preserve"> excluding them</w:t>
      </w:r>
      <w:r w:rsidR="00CB1458">
        <w:t>,</w:t>
      </w:r>
      <w:r w:rsidR="002514B0">
        <w:t xml:space="preserve"> </w:t>
      </w:r>
      <w:r>
        <w:t>was</w:t>
      </w:r>
      <w:r w:rsidR="002514B0">
        <w:t xml:space="preserve"> </w:t>
      </w:r>
      <w:r>
        <w:t>to</w:t>
      </w:r>
      <w:r w:rsidR="002514B0">
        <w:t xml:space="preserve"> </w:t>
      </w:r>
      <w:r>
        <w:t>better</w:t>
      </w:r>
      <w:r w:rsidR="002514B0">
        <w:t xml:space="preserve"> </w:t>
      </w:r>
      <w:r>
        <w:t>assure</w:t>
      </w:r>
      <w:r w:rsidR="002514B0">
        <w:t xml:space="preserve"> </w:t>
      </w:r>
      <w:r>
        <w:t>themselves</w:t>
      </w:r>
      <w:r w:rsidR="002514B0">
        <w:t xml:space="preserve"> </w:t>
      </w:r>
      <w:r>
        <w:t>receipt</w:t>
      </w:r>
      <w:r w:rsidR="002514B0">
        <w:t xml:space="preserve"> </w:t>
      </w:r>
      <w:r>
        <w:t>of</w:t>
      </w:r>
      <w:r w:rsidR="002514B0">
        <w:t xml:space="preserve"> </w:t>
      </w:r>
      <w:r>
        <w:t>the</w:t>
      </w:r>
      <w:r w:rsidR="002514B0">
        <w:t xml:space="preserve"> </w:t>
      </w:r>
      <w:r>
        <w:t>associated</w:t>
      </w:r>
      <w:r w:rsidR="002514B0">
        <w:t xml:space="preserve"> </w:t>
      </w:r>
      <w:r>
        <w:t>cashflows</w:t>
      </w:r>
      <w:r w:rsidR="002514B0">
        <w:t xml:space="preserve"> </w:t>
      </w:r>
      <w:r>
        <w:t>not</w:t>
      </w:r>
      <w:r w:rsidR="002514B0">
        <w:t xml:space="preserve"> </w:t>
      </w:r>
      <w:r>
        <w:t>subject</w:t>
      </w:r>
      <w:r w:rsidR="002514B0">
        <w:t xml:space="preserve"> </w:t>
      </w:r>
      <w:r>
        <w:t>to</w:t>
      </w:r>
      <w:r w:rsidR="002514B0">
        <w:t xml:space="preserve"> </w:t>
      </w:r>
      <w:r>
        <w:t>vacillating</w:t>
      </w:r>
      <w:r w:rsidR="002514B0">
        <w:t xml:space="preserve"> </w:t>
      </w:r>
      <w:r>
        <w:t>return</w:t>
      </w:r>
      <w:r w:rsidR="002514B0">
        <w:t xml:space="preserve"> </w:t>
      </w:r>
      <w:r>
        <w:t>on</w:t>
      </w:r>
      <w:r w:rsidR="002514B0">
        <w:t xml:space="preserve"> </w:t>
      </w:r>
      <w:r>
        <w:t>equity</w:t>
      </w:r>
      <w:r w:rsidR="002514B0">
        <w:t xml:space="preserve"> </w:t>
      </w:r>
      <w:r>
        <w:t>(ROE)</w:t>
      </w:r>
      <w:r w:rsidR="002514B0">
        <w:t xml:space="preserve"> </w:t>
      </w:r>
      <w:r>
        <w:t>recalculations</w:t>
      </w:r>
      <w:r w:rsidR="002F4F08">
        <w:rPr>
          <w:rStyle w:val="FootnoteReference"/>
        </w:rPr>
        <w:footnoteReference w:id="18"/>
      </w:r>
      <w:r w:rsidR="00CB1458">
        <w:t xml:space="preserve">. Furthermore, the </w:t>
      </w:r>
      <w:r w:rsidR="00F3270C">
        <w:t>ROE recalculations</w:t>
      </w:r>
      <w:r w:rsidR="00CB1458">
        <w:t xml:space="preserve"> </w:t>
      </w:r>
      <w:bookmarkStart w:id="56" w:name="_GoBack"/>
      <w:bookmarkEnd w:id="56"/>
      <w:r w:rsidR="00CB1458">
        <w:t>are</w:t>
      </w:r>
      <w:r w:rsidR="002514B0">
        <w:t xml:space="preserve"> </w:t>
      </w:r>
      <w:r>
        <w:t>subject</w:t>
      </w:r>
      <w:r w:rsidR="002514B0">
        <w:t xml:space="preserve"> </w:t>
      </w:r>
      <w:r>
        <w:t>to</w:t>
      </w:r>
      <w:r w:rsidR="002514B0">
        <w:t xml:space="preserve"> </w:t>
      </w:r>
      <w:r>
        <w:t>readjustment</w:t>
      </w:r>
      <w:r w:rsidR="002514B0">
        <w:t xml:space="preserve"> </w:t>
      </w:r>
      <w:r>
        <w:t>at</w:t>
      </w:r>
      <w:r w:rsidR="002514B0">
        <w:t xml:space="preserve"> </w:t>
      </w:r>
      <w:r>
        <w:t>each</w:t>
      </w:r>
      <w:r w:rsidR="002514B0">
        <w:t xml:space="preserve"> </w:t>
      </w:r>
      <w:r>
        <w:t>annual</w:t>
      </w:r>
      <w:r w:rsidR="002514B0">
        <w:t xml:space="preserve"> </w:t>
      </w:r>
      <w:r>
        <w:t>Formula</w:t>
      </w:r>
      <w:r w:rsidR="002514B0">
        <w:t xml:space="preserve"> </w:t>
      </w:r>
      <w:r>
        <w:t>Rate</w:t>
      </w:r>
      <w:r w:rsidR="002514B0">
        <w:t xml:space="preserve"> </w:t>
      </w:r>
      <w:r>
        <w:t>Plan</w:t>
      </w:r>
      <w:r w:rsidR="002514B0">
        <w:t xml:space="preserve"> </w:t>
      </w:r>
      <w:r>
        <w:t>(FRP)</w:t>
      </w:r>
      <w:r w:rsidR="002514B0">
        <w:t xml:space="preserve"> </w:t>
      </w:r>
      <w:r>
        <w:t>true</w:t>
      </w:r>
      <w:r w:rsidR="002514B0">
        <w:t xml:space="preserve"> </w:t>
      </w:r>
      <w:r>
        <w:t>up.</w:t>
      </w:r>
      <w:r w:rsidR="00F7247C">
        <w:rPr>
          <w:rStyle w:val="FootnoteReference"/>
        </w:rPr>
        <w:footnoteReference w:id="19"/>
      </w:r>
    </w:p>
    <w:p w14:paraId="3DD5D7C7" w14:textId="7734F158" w:rsidR="00064848" w:rsidRPr="003C7F6D" w:rsidRDefault="00064848" w:rsidP="00064848">
      <w:pPr>
        <w:pStyle w:val="Heading2"/>
      </w:pPr>
      <w:bookmarkStart w:id="57" w:name="_Toc16165404"/>
      <w:bookmarkStart w:id="58" w:name="_Toc16175736"/>
      <w:bookmarkStart w:id="59" w:name="_Toc16317731"/>
      <w:bookmarkStart w:id="60" w:name="_Toc16254895"/>
      <w:r w:rsidRPr="003C7F6D">
        <w:t>Advisors</w:t>
      </w:r>
      <w:r w:rsidR="002514B0">
        <w:t xml:space="preserve"> </w:t>
      </w:r>
      <w:r w:rsidRPr="003C7F6D">
        <w:t>want</w:t>
      </w:r>
      <w:r w:rsidR="002514B0">
        <w:t xml:space="preserve"> </w:t>
      </w:r>
      <w:r w:rsidRPr="003C7F6D">
        <w:t>to</w:t>
      </w:r>
      <w:r w:rsidR="002514B0">
        <w:t xml:space="preserve"> </w:t>
      </w:r>
      <w:r w:rsidRPr="003C7F6D">
        <w:t>include</w:t>
      </w:r>
      <w:r w:rsidR="002514B0">
        <w:t xml:space="preserve"> </w:t>
      </w:r>
      <w:r w:rsidRPr="003C7F6D">
        <w:t>all</w:t>
      </w:r>
      <w:r w:rsidR="002514B0">
        <w:t xml:space="preserve"> </w:t>
      </w:r>
      <w:r w:rsidRPr="003C7F6D">
        <w:t>non-variable</w:t>
      </w:r>
      <w:r w:rsidR="002514B0">
        <w:t xml:space="preserve"> </w:t>
      </w:r>
      <w:r w:rsidRPr="003C7F6D">
        <w:t>riders</w:t>
      </w:r>
      <w:r w:rsidR="002514B0">
        <w:t xml:space="preserve"> </w:t>
      </w:r>
      <w:r w:rsidRPr="003C7F6D">
        <w:t>with</w:t>
      </w:r>
      <w:r w:rsidR="002514B0">
        <w:t xml:space="preserve"> </w:t>
      </w:r>
      <w:r w:rsidRPr="003C7F6D">
        <w:t>the</w:t>
      </w:r>
      <w:r w:rsidR="002514B0">
        <w:t xml:space="preserve"> </w:t>
      </w:r>
      <w:r w:rsidRPr="003C7F6D">
        <w:t>base</w:t>
      </w:r>
      <w:r w:rsidR="002514B0">
        <w:t xml:space="preserve"> </w:t>
      </w:r>
      <w:r w:rsidRPr="003C7F6D">
        <w:t>rates</w:t>
      </w:r>
      <w:r w:rsidR="002514B0">
        <w:t xml:space="preserve"> </w:t>
      </w:r>
      <w:r w:rsidRPr="003C7F6D">
        <w:t>to</w:t>
      </w:r>
      <w:r w:rsidR="002514B0">
        <w:t xml:space="preserve"> </w:t>
      </w:r>
      <w:r w:rsidRPr="003C7F6D">
        <w:t>establish</w:t>
      </w:r>
      <w:r w:rsidR="002514B0">
        <w:t xml:space="preserve"> </w:t>
      </w:r>
      <w:r w:rsidRPr="003C7F6D">
        <w:t>Revenue</w:t>
      </w:r>
      <w:r w:rsidR="002514B0">
        <w:t xml:space="preserve"> </w:t>
      </w:r>
      <w:r w:rsidRPr="003C7F6D">
        <w:t>Requirements,</w:t>
      </w:r>
      <w:r w:rsidR="002514B0">
        <w:t xml:space="preserve"> </w:t>
      </w:r>
      <w:r w:rsidRPr="003C7F6D">
        <w:t>but</w:t>
      </w:r>
      <w:r w:rsidR="002514B0">
        <w:t xml:space="preserve"> </w:t>
      </w:r>
      <w:r w:rsidRPr="003C7F6D">
        <w:t>their</w:t>
      </w:r>
      <w:r w:rsidR="002514B0">
        <w:t xml:space="preserve"> </w:t>
      </w:r>
      <w:r w:rsidRPr="003C7F6D">
        <w:t>process</w:t>
      </w:r>
      <w:r w:rsidR="002514B0">
        <w:t xml:space="preserve"> </w:t>
      </w:r>
      <w:r w:rsidRPr="003C7F6D">
        <w:t>opens</w:t>
      </w:r>
      <w:r w:rsidR="002514B0">
        <w:t xml:space="preserve"> </w:t>
      </w:r>
      <w:r w:rsidRPr="003C7F6D">
        <w:t>the</w:t>
      </w:r>
      <w:r w:rsidR="002514B0">
        <w:t xml:space="preserve"> </w:t>
      </w:r>
      <w:r w:rsidRPr="003C7F6D">
        <w:t>door</w:t>
      </w:r>
      <w:r w:rsidR="002514B0">
        <w:t xml:space="preserve"> </w:t>
      </w:r>
      <w:r w:rsidRPr="003C7F6D">
        <w:t>to</w:t>
      </w:r>
      <w:r w:rsidR="002514B0">
        <w:t xml:space="preserve"> </w:t>
      </w:r>
      <w:r w:rsidRPr="003C7F6D">
        <w:t>put</w:t>
      </w:r>
      <w:r w:rsidR="002514B0">
        <w:t xml:space="preserve"> </w:t>
      </w:r>
      <w:r w:rsidRPr="003C7F6D">
        <w:t>Cost-of-Energy</w:t>
      </w:r>
      <w:r w:rsidR="002514B0">
        <w:t xml:space="preserve"> </w:t>
      </w:r>
      <w:r w:rsidRPr="003C7F6D">
        <w:t>into</w:t>
      </w:r>
      <w:r w:rsidR="002514B0">
        <w:t xml:space="preserve"> </w:t>
      </w:r>
      <w:r w:rsidRPr="003C7F6D">
        <w:t>the</w:t>
      </w:r>
      <w:r w:rsidR="002514B0">
        <w:t xml:space="preserve"> </w:t>
      </w:r>
      <w:r w:rsidRPr="003C7F6D">
        <w:t>Rate</w:t>
      </w:r>
      <w:r w:rsidR="002514B0">
        <w:t xml:space="preserve"> </w:t>
      </w:r>
      <w:r w:rsidRPr="003C7F6D">
        <w:t>Case.</w:t>
      </w:r>
      <w:bookmarkEnd w:id="57"/>
      <w:bookmarkEnd w:id="58"/>
      <w:bookmarkEnd w:id="59"/>
      <w:bookmarkEnd w:id="60"/>
    </w:p>
    <w:p w14:paraId="4FC3C050" w14:textId="6071E922" w:rsidR="00064848" w:rsidRPr="003C7F6D" w:rsidRDefault="00064848" w:rsidP="00064848">
      <w:pPr>
        <w:pStyle w:val="BodyText"/>
      </w:pPr>
      <w:r w:rsidRPr="003C7F6D">
        <w:t>Advisors</w:t>
      </w:r>
      <w:r w:rsidR="002514B0">
        <w:t xml:space="preserve"> </w:t>
      </w:r>
      <w:r w:rsidRPr="003C7F6D">
        <w:t>claim</w:t>
      </w:r>
      <w:r w:rsidR="002514B0">
        <w:t xml:space="preserve"> </w:t>
      </w:r>
      <w:r w:rsidRPr="003C7F6D">
        <w:t>their</w:t>
      </w:r>
      <w:r w:rsidR="002514B0">
        <w:t xml:space="preserve"> </w:t>
      </w:r>
      <w:r w:rsidRPr="003C7F6D">
        <w:t>right</w:t>
      </w:r>
      <w:r w:rsidR="002514B0">
        <w:t xml:space="preserve"> </w:t>
      </w:r>
      <w:r w:rsidRPr="003C7F6D">
        <w:t>to</w:t>
      </w:r>
      <w:r w:rsidR="002514B0">
        <w:t xml:space="preserve"> </w:t>
      </w:r>
      <w:r w:rsidRPr="003C7F6D">
        <w:t>prevail</w:t>
      </w:r>
      <w:r w:rsidR="002514B0">
        <w:t xml:space="preserve"> </w:t>
      </w:r>
      <w:r w:rsidRPr="003C7F6D">
        <w:t>from</w:t>
      </w:r>
      <w:r w:rsidR="002514B0">
        <w:t xml:space="preserve"> </w:t>
      </w:r>
      <w:r w:rsidRPr="003C7F6D">
        <w:t>R-17-504</w:t>
      </w:r>
      <w:r>
        <w:t>.</w:t>
      </w:r>
      <w:r w:rsidR="00F7247C">
        <w:rPr>
          <w:rStyle w:val="FootnoteReference"/>
        </w:rPr>
        <w:footnoteReference w:id="20"/>
      </w:r>
    </w:p>
    <w:p w14:paraId="23B5A0CB" w14:textId="355927F5" w:rsidR="00064848" w:rsidRDefault="00064848" w:rsidP="00064848">
      <w:pPr>
        <w:ind w:firstLine="720"/>
      </w:pPr>
      <w:r w:rsidRPr="003C7F6D">
        <w:t>Advisors</w:t>
      </w:r>
      <w:r w:rsidR="002514B0">
        <w:t xml:space="preserve"> </w:t>
      </w:r>
      <w:r w:rsidRPr="003C7F6D">
        <w:t>assert</w:t>
      </w:r>
      <w:r w:rsidR="002514B0">
        <w:t xml:space="preserve"> </w:t>
      </w:r>
      <w:r w:rsidRPr="003C7F6D">
        <w:t>its</w:t>
      </w:r>
      <w:r w:rsidR="002514B0">
        <w:t xml:space="preserve"> </w:t>
      </w:r>
      <w:r w:rsidRPr="003C7F6D">
        <w:t>wrong</w:t>
      </w:r>
      <w:r w:rsidR="002514B0">
        <w:t xml:space="preserve"> </w:t>
      </w:r>
      <w:r w:rsidRPr="003C7F6D">
        <w:t>to</w:t>
      </w:r>
      <w:r w:rsidR="002514B0">
        <w:t xml:space="preserve"> </w:t>
      </w:r>
      <w:r w:rsidRPr="003C7F6D">
        <w:t>exclude</w:t>
      </w:r>
      <w:r w:rsidR="002514B0">
        <w:t xml:space="preserve"> </w:t>
      </w:r>
      <w:r w:rsidRPr="003C7F6D">
        <w:t>most</w:t>
      </w:r>
      <w:r w:rsidR="002514B0">
        <w:t xml:space="preserve"> </w:t>
      </w:r>
      <w:r w:rsidRPr="003C7F6D">
        <w:t>Riders.</w:t>
      </w:r>
      <w:r w:rsidR="00F7247C">
        <w:rPr>
          <w:rStyle w:val="FootnoteReference"/>
        </w:rPr>
        <w:footnoteReference w:id="21"/>
      </w:r>
      <w:r w:rsidR="002514B0">
        <w:t xml:space="preserve"> </w:t>
      </w:r>
    </w:p>
    <w:p w14:paraId="09E65C86" w14:textId="1E6DC162" w:rsidR="00064848" w:rsidRDefault="00064848" w:rsidP="00064848">
      <w:pPr>
        <w:ind w:firstLine="720"/>
      </w:pPr>
      <w:r w:rsidRPr="003C7F6D">
        <w:t>Advisors</w:t>
      </w:r>
      <w:r w:rsidR="002514B0">
        <w:t xml:space="preserve"> </w:t>
      </w:r>
      <w:r w:rsidRPr="003C7F6D">
        <w:t>open</w:t>
      </w:r>
      <w:r w:rsidR="002514B0">
        <w:t xml:space="preserve"> </w:t>
      </w:r>
      <w:r w:rsidRPr="003C7F6D">
        <w:t>the</w:t>
      </w:r>
      <w:r w:rsidR="002514B0">
        <w:t xml:space="preserve"> </w:t>
      </w:r>
      <w:r w:rsidRPr="003C7F6D">
        <w:t>door</w:t>
      </w:r>
      <w:r w:rsidR="002514B0">
        <w:t xml:space="preserve"> </w:t>
      </w:r>
      <w:r w:rsidRPr="003C7F6D">
        <w:t>for</w:t>
      </w:r>
      <w:r w:rsidR="002514B0">
        <w:t xml:space="preserve"> </w:t>
      </w:r>
      <w:r w:rsidRPr="003C7F6D">
        <w:t>Cost-of-Energy</w:t>
      </w:r>
      <w:r w:rsidR="002514B0">
        <w:t xml:space="preserve"> </w:t>
      </w:r>
      <w:r w:rsidRPr="003C7F6D">
        <w:t>in</w:t>
      </w:r>
      <w:r w:rsidR="002514B0">
        <w:t xml:space="preserve"> </w:t>
      </w:r>
      <w:r w:rsidRPr="003C7F6D">
        <w:t>Ratemaking</w:t>
      </w:r>
      <w:r w:rsidR="00F7247C">
        <w:t>.</w:t>
      </w:r>
      <w:r w:rsidR="00F7247C">
        <w:rPr>
          <w:rStyle w:val="FootnoteReference"/>
        </w:rPr>
        <w:footnoteReference w:id="22"/>
      </w:r>
    </w:p>
    <w:p w14:paraId="65782CCF" w14:textId="6B88FB50" w:rsidR="00064848" w:rsidRPr="003C7F6D" w:rsidRDefault="00064848" w:rsidP="00064848">
      <w:pPr>
        <w:ind w:firstLine="720"/>
      </w:pPr>
      <w:r>
        <w:t>BSI</w:t>
      </w:r>
      <w:r w:rsidR="002514B0">
        <w:t xml:space="preserve"> </w:t>
      </w:r>
      <w:r>
        <w:t>supports</w:t>
      </w:r>
      <w:r w:rsidR="002514B0">
        <w:t xml:space="preserve"> </w:t>
      </w:r>
      <w:r>
        <w:t>the</w:t>
      </w:r>
      <w:r w:rsidR="002514B0">
        <w:t xml:space="preserve"> </w:t>
      </w:r>
      <w:r>
        <w:t>Advisors</w:t>
      </w:r>
      <w:r w:rsidR="002514B0">
        <w:t xml:space="preserve"> </w:t>
      </w:r>
      <w:r>
        <w:t>assertion</w:t>
      </w:r>
      <w:r w:rsidR="002514B0">
        <w:t xml:space="preserve"> </w:t>
      </w:r>
      <w:r>
        <w:t>that</w:t>
      </w:r>
      <w:r w:rsidR="002514B0">
        <w:t xml:space="preserve"> </w:t>
      </w:r>
      <w:r>
        <w:t>as</w:t>
      </w:r>
      <w:r w:rsidR="002514B0">
        <w:t xml:space="preserve"> </w:t>
      </w:r>
      <w:r>
        <w:t>much</w:t>
      </w:r>
      <w:r w:rsidR="002514B0">
        <w:t xml:space="preserve"> </w:t>
      </w:r>
      <w:r>
        <w:t>as</w:t>
      </w:r>
      <w:r w:rsidR="002514B0">
        <w:t xml:space="preserve"> </w:t>
      </w:r>
      <w:r>
        <w:t>possible</w:t>
      </w:r>
      <w:r w:rsidR="00A75C7E">
        <w:t>,</w:t>
      </w:r>
      <w:r w:rsidR="002514B0">
        <w:t xml:space="preserve"> </w:t>
      </w:r>
      <w:r>
        <w:t>all</w:t>
      </w:r>
      <w:r w:rsidR="002514B0">
        <w:t xml:space="preserve"> </w:t>
      </w:r>
      <w:r>
        <w:t>riders</w:t>
      </w:r>
      <w:r w:rsidR="002514B0">
        <w:t xml:space="preserve"> </w:t>
      </w:r>
      <w:r>
        <w:t>should</w:t>
      </w:r>
      <w:r w:rsidR="002514B0">
        <w:t xml:space="preserve"> </w:t>
      </w:r>
      <w:r>
        <w:t>be</w:t>
      </w:r>
      <w:r w:rsidR="002514B0">
        <w:t xml:space="preserve"> </w:t>
      </w:r>
      <w:r>
        <w:t>included</w:t>
      </w:r>
      <w:r w:rsidR="002514B0">
        <w:t xml:space="preserve"> </w:t>
      </w:r>
      <w:r>
        <w:t>to</w:t>
      </w:r>
      <w:r w:rsidR="002514B0">
        <w:t xml:space="preserve"> </w:t>
      </w:r>
      <w:r>
        <w:t>establish</w:t>
      </w:r>
      <w:r w:rsidR="002514B0">
        <w:t xml:space="preserve"> </w:t>
      </w:r>
      <w:r>
        <w:t>revenue</w:t>
      </w:r>
      <w:r w:rsidR="002514B0">
        <w:t xml:space="preserve"> </w:t>
      </w:r>
      <w:r>
        <w:t>requirements.</w:t>
      </w:r>
    </w:p>
    <w:p w14:paraId="4E5C00E0" w14:textId="0CD6EBBE" w:rsidR="00064848" w:rsidRPr="003C7F6D" w:rsidRDefault="00064848" w:rsidP="00064848">
      <w:pPr>
        <w:pStyle w:val="Heading2"/>
      </w:pPr>
      <w:bookmarkStart w:id="61" w:name="_Toc16165405"/>
      <w:bookmarkStart w:id="62" w:name="_Toc16175737"/>
      <w:bookmarkStart w:id="63" w:name="_Toc16317732"/>
      <w:bookmarkStart w:id="64" w:name="_Toc16254896"/>
      <w:r w:rsidRPr="003C7F6D">
        <w:lastRenderedPageBreak/>
        <w:t>Cost-of-Energy</w:t>
      </w:r>
      <w:r w:rsidR="002514B0">
        <w:t xml:space="preserve"> </w:t>
      </w:r>
      <w:r w:rsidRPr="003C7F6D">
        <w:t>is</w:t>
      </w:r>
      <w:r w:rsidR="002514B0">
        <w:t xml:space="preserve"> </w:t>
      </w:r>
      <w:r w:rsidRPr="003C7F6D">
        <w:t>germane</w:t>
      </w:r>
      <w:r w:rsidR="002514B0">
        <w:t xml:space="preserve"> </w:t>
      </w:r>
      <w:r w:rsidRPr="003C7F6D">
        <w:t>to</w:t>
      </w:r>
      <w:r w:rsidR="002514B0">
        <w:t xml:space="preserve"> </w:t>
      </w:r>
      <w:r w:rsidRPr="003C7F6D">
        <w:t>Rate</w:t>
      </w:r>
      <w:r w:rsidR="00093C8E">
        <w:t>m</w:t>
      </w:r>
      <w:r w:rsidRPr="003C7F6D">
        <w:t>aking.</w:t>
      </w:r>
      <w:bookmarkEnd w:id="61"/>
      <w:bookmarkEnd w:id="62"/>
      <w:bookmarkEnd w:id="63"/>
      <w:bookmarkEnd w:id="64"/>
    </w:p>
    <w:p w14:paraId="3A9A7EFF" w14:textId="2690E11C" w:rsidR="00064848" w:rsidRPr="003C7F6D" w:rsidRDefault="00064848" w:rsidP="00064848">
      <w:pPr>
        <w:pStyle w:val="BodyText"/>
      </w:pPr>
      <w:r w:rsidRPr="003C7F6D">
        <w:t>Cost-of-Energy</w:t>
      </w:r>
      <w:r w:rsidR="002514B0">
        <w:t xml:space="preserve"> </w:t>
      </w:r>
      <w:r w:rsidRPr="003C7F6D">
        <w:t>is</w:t>
      </w:r>
      <w:r w:rsidR="002514B0">
        <w:t xml:space="preserve"> </w:t>
      </w:r>
      <w:r w:rsidRPr="003C7F6D">
        <w:t>certainly</w:t>
      </w:r>
      <w:r w:rsidR="002514B0">
        <w:t xml:space="preserve"> </w:t>
      </w:r>
      <w:r w:rsidRPr="003C7F6D">
        <w:t>not</w:t>
      </w:r>
      <w:r w:rsidR="002514B0">
        <w:t xml:space="preserve"> </w:t>
      </w:r>
      <w:r w:rsidRPr="003C7F6D">
        <w:t>predictably</w:t>
      </w:r>
      <w:r w:rsidR="002514B0">
        <w:t xml:space="preserve"> </w:t>
      </w:r>
      <w:r w:rsidRPr="003C7F6D">
        <w:t>variable</w:t>
      </w:r>
      <w:r w:rsidR="00CB1458">
        <w:t>,</w:t>
      </w:r>
      <w:r w:rsidR="002514B0">
        <w:t xml:space="preserve"> </w:t>
      </w:r>
      <w:r>
        <w:t>and</w:t>
      </w:r>
      <w:r w:rsidR="002514B0">
        <w:t xml:space="preserve"> </w:t>
      </w:r>
      <w:r w:rsidRPr="003C7F6D">
        <w:t>is</w:t>
      </w:r>
      <w:r w:rsidR="002514B0">
        <w:t xml:space="preserve"> </w:t>
      </w:r>
      <w:r w:rsidRPr="003C7F6D">
        <w:t>more</w:t>
      </w:r>
      <w:r w:rsidR="002514B0">
        <w:t xml:space="preserve"> </w:t>
      </w:r>
      <w:r w:rsidRPr="003C7F6D">
        <w:t>than</w:t>
      </w:r>
      <w:r w:rsidR="002514B0">
        <w:t xml:space="preserve"> </w:t>
      </w:r>
      <w:r w:rsidRPr="003C7F6D">
        <w:t>a</w:t>
      </w:r>
      <w:r w:rsidR="002514B0">
        <w:t xml:space="preserve"> </w:t>
      </w:r>
      <w:r w:rsidRPr="003C7F6D">
        <w:t>peripheral</w:t>
      </w:r>
      <w:r w:rsidR="002514B0">
        <w:t xml:space="preserve"> </w:t>
      </w:r>
      <w:r w:rsidRPr="003C7F6D">
        <w:t>issue</w:t>
      </w:r>
      <w:r w:rsidR="002514B0">
        <w:t xml:space="preserve"> </w:t>
      </w:r>
      <w:r w:rsidRPr="003C7F6D">
        <w:t>of</w:t>
      </w:r>
      <w:r w:rsidR="002514B0">
        <w:t xml:space="preserve"> </w:t>
      </w:r>
      <w:r w:rsidRPr="003C7F6D">
        <w:t>this</w:t>
      </w:r>
      <w:r w:rsidR="002514B0">
        <w:t xml:space="preserve"> </w:t>
      </w:r>
      <w:r w:rsidRPr="003C7F6D">
        <w:t>rate</w:t>
      </w:r>
      <w:r w:rsidR="002514B0">
        <w:t xml:space="preserve"> </w:t>
      </w:r>
      <w:r w:rsidRPr="003C7F6D">
        <w:t>case.</w:t>
      </w:r>
      <w:r w:rsidR="002514B0">
        <w:t xml:space="preserve"> </w:t>
      </w:r>
      <w:r>
        <w:t>None</w:t>
      </w:r>
      <w:r w:rsidR="002514B0">
        <w:t xml:space="preserve"> </w:t>
      </w:r>
      <w:r>
        <w:t>of</w:t>
      </w:r>
      <w:r w:rsidR="002514B0">
        <w:t xml:space="preserve"> </w:t>
      </w:r>
      <w:r>
        <w:t>the</w:t>
      </w:r>
      <w:r w:rsidR="002514B0">
        <w:t xml:space="preserve"> </w:t>
      </w:r>
      <w:r>
        <w:t>briefs</w:t>
      </w:r>
      <w:r w:rsidR="002514B0">
        <w:t xml:space="preserve"> </w:t>
      </w:r>
      <w:r>
        <w:t>filed</w:t>
      </w:r>
      <w:r w:rsidR="002514B0">
        <w:t xml:space="preserve"> </w:t>
      </w:r>
      <w:r>
        <w:t>so</w:t>
      </w:r>
      <w:r w:rsidR="002514B0">
        <w:t xml:space="preserve"> </w:t>
      </w:r>
      <w:r>
        <w:t>far</w:t>
      </w:r>
      <w:r w:rsidR="002514B0">
        <w:t xml:space="preserve"> </w:t>
      </w:r>
      <w:r>
        <w:t>have</w:t>
      </w:r>
      <w:r w:rsidR="002514B0">
        <w:t xml:space="preserve"> </w:t>
      </w:r>
      <w:r w:rsidRPr="003C7F6D">
        <w:t>recognized</w:t>
      </w:r>
      <w:r w:rsidR="002514B0">
        <w:t xml:space="preserve"> </w:t>
      </w:r>
      <w:r>
        <w:t>cost-of-energy</w:t>
      </w:r>
      <w:r w:rsidR="002514B0">
        <w:t xml:space="preserve"> </w:t>
      </w:r>
      <w:r w:rsidRPr="003C7F6D">
        <w:t>as</w:t>
      </w:r>
      <w:r w:rsidR="002514B0">
        <w:t xml:space="preserve"> </w:t>
      </w:r>
      <w:r w:rsidRPr="003C7F6D">
        <w:t>germane</w:t>
      </w:r>
      <w:r w:rsidR="002514B0">
        <w:t xml:space="preserve"> </w:t>
      </w:r>
      <w:r w:rsidRPr="003C7F6D">
        <w:t>to</w:t>
      </w:r>
      <w:r w:rsidR="002514B0">
        <w:t xml:space="preserve"> </w:t>
      </w:r>
      <w:r w:rsidRPr="003C7F6D">
        <w:t>the</w:t>
      </w:r>
      <w:r w:rsidR="002514B0">
        <w:t xml:space="preserve"> </w:t>
      </w:r>
      <w:r w:rsidRPr="003C7F6D">
        <w:t>process</w:t>
      </w:r>
      <w:r w:rsidR="002514B0">
        <w:t xml:space="preserve"> </w:t>
      </w:r>
      <w:r w:rsidRPr="003C7F6D">
        <w:t>and</w:t>
      </w:r>
      <w:r w:rsidR="002514B0">
        <w:t xml:space="preserve"> </w:t>
      </w:r>
      <w:r w:rsidRPr="003C7F6D">
        <w:t>goals</w:t>
      </w:r>
      <w:r w:rsidR="002514B0">
        <w:t xml:space="preserve"> </w:t>
      </w:r>
      <w:r w:rsidRPr="003C7F6D">
        <w:t>of</w:t>
      </w:r>
      <w:r w:rsidR="002514B0">
        <w:t xml:space="preserve"> </w:t>
      </w:r>
      <w:r w:rsidRPr="003C7F6D">
        <w:t>the</w:t>
      </w:r>
      <w:r w:rsidR="002514B0">
        <w:t xml:space="preserve"> </w:t>
      </w:r>
      <w:r w:rsidRPr="003C7F6D">
        <w:t>rate</w:t>
      </w:r>
      <w:r w:rsidR="002514B0">
        <w:t xml:space="preserve"> </w:t>
      </w:r>
      <w:r w:rsidRPr="003C7F6D">
        <w:t>case</w:t>
      </w:r>
      <w:r w:rsidR="00CB1458">
        <w:t>,</w:t>
      </w:r>
      <w:r w:rsidR="002514B0">
        <w:t xml:space="preserve"> </w:t>
      </w:r>
      <w:r w:rsidRPr="003C7F6D">
        <w:t>despite</w:t>
      </w:r>
      <w:r w:rsidR="002514B0">
        <w:t xml:space="preserve"> </w:t>
      </w:r>
      <w:r w:rsidRPr="003C7F6D">
        <w:t>a</w:t>
      </w:r>
      <w:r w:rsidR="002514B0">
        <w:t xml:space="preserve"> </w:t>
      </w:r>
      <w:r w:rsidRPr="003C7F6D">
        <w:t>Council</w:t>
      </w:r>
      <w:r w:rsidR="002514B0">
        <w:t xml:space="preserve"> </w:t>
      </w:r>
      <w:r w:rsidRPr="003C7F6D">
        <w:t>Resolution</w:t>
      </w:r>
      <w:r w:rsidR="002514B0">
        <w:t xml:space="preserve"> </w:t>
      </w:r>
      <w:r>
        <w:t>requiring</w:t>
      </w:r>
      <w:r w:rsidR="002514B0">
        <w:t xml:space="preserve"> </w:t>
      </w:r>
      <w:r>
        <w:t>consideration</w:t>
      </w:r>
      <w:r w:rsidR="002514B0">
        <w:t xml:space="preserve"> </w:t>
      </w:r>
      <w:r>
        <w:t>of</w:t>
      </w:r>
      <w:r w:rsidR="002514B0">
        <w:t xml:space="preserve"> </w:t>
      </w:r>
      <w:r>
        <w:t>all</w:t>
      </w:r>
      <w:r w:rsidR="002514B0">
        <w:t xml:space="preserve"> </w:t>
      </w:r>
      <w:r>
        <w:t>costs.</w:t>
      </w:r>
    </w:p>
    <w:p w14:paraId="5406CC82" w14:textId="02742BE4" w:rsidR="00064848" w:rsidRPr="003C7F6D" w:rsidRDefault="00064848" w:rsidP="00064848">
      <w:pPr>
        <w:pStyle w:val="Quote"/>
      </w:pPr>
      <w:r w:rsidRPr="003C7F6D">
        <w:t>Council</w:t>
      </w:r>
      <w:r w:rsidR="002514B0">
        <w:t xml:space="preserve"> </w:t>
      </w:r>
      <w:r w:rsidRPr="003C7F6D">
        <w:t>Resolution</w:t>
      </w:r>
      <w:r w:rsidR="002514B0">
        <w:t xml:space="preserve"> </w:t>
      </w:r>
      <w:r w:rsidRPr="003C7F6D">
        <w:t>No.</w:t>
      </w:r>
      <w:r w:rsidR="002514B0">
        <w:t xml:space="preserve"> </w:t>
      </w:r>
      <w:r w:rsidRPr="003C7F6D">
        <w:t>R-17-504</w:t>
      </w:r>
      <w:r w:rsidR="002514B0">
        <w:t xml:space="preserve"> </w:t>
      </w:r>
      <w:r w:rsidRPr="0003376F">
        <w:t>(September</w:t>
      </w:r>
      <w:r w:rsidR="002514B0">
        <w:t xml:space="preserve"> </w:t>
      </w:r>
      <w:r w:rsidRPr="0003376F">
        <w:t>28,</w:t>
      </w:r>
      <w:r w:rsidR="002514B0">
        <w:t xml:space="preserve"> </w:t>
      </w:r>
      <w:r w:rsidRPr="0003376F">
        <w:t>2017)</w:t>
      </w:r>
      <w:r w:rsidR="002514B0">
        <w:t xml:space="preserve"> </w:t>
      </w:r>
      <w:r w:rsidRPr="003C7F6D">
        <w:t>provides:</w:t>
      </w:r>
      <w:r w:rsidR="002514B0">
        <w:t xml:space="preserve"> </w:t>
      </w:r>
      <w:r w:rsidRPr="003C7F6D">
        <w:t>“include</w:t>
      </w:r>
      <w:r w:rsidR="002514B0">
        <w:t xml:space="preserve"> </w:t>
      </w:r>
      <w:r w:rsidRPr="003C7F6D">
        <w:t>all</w:t>
      </w:r>
      <w:r w:rsidR="002514B0">
        <w:t xml:space="preserve"> </w:t>
      </w:r>
      <w:r w:rsidRPr="003C7F6D">
        <w:t>of</w:t>
      </w:r>
      <w:r w:rsidR="002514B0">
        <w:t xml:space="preserve"> </w:t>
      </w:r>
      <w:r w:rsidRPr="003C7F6D">
        <w:t>ENO's</w:t>
      </w:r>
      <w:r w:rsidR="002514B0">
        <w:t xml:space="preserve"> </w:t>
      </w:r>
      <w:r w:rsidRPr="003C7F6D">
        <w:t>rev</w:t>
      </w:r>
      <w:r w:rsidRPr="003C7F6D">
        <w:rPr>
          <w:sz w:val="22"/>
        </w:rPr>
        <w:t>en</w:t>
      </w:r>
      <w:r w:rsidRPr="003C7F6D">
        <w:t>ues</w:t>
      </w:r>
      <w:r w:rsidR="002514B0">
        <w:t xml:space="preserve"> </w:t>
      </w:r>
      <w:r w:rsidRPr="003C7F6D">
        <w:t>and</w:t>
      </w:r>
      <w:r w:rsidR="002514B0">
        <w:t xml:space="preserve"> </w:t>
      </w:r>
      <w:r w:rsidRPr="003C7F6D">
        <w:t>costs</w:t>
      </w:r>
      <w:r w:rsidR="002514B0">
        <w:t xml:space="preserve"> </w:t>
      </w:r>
      <w:r w:rsidRPr="003C7F6D">
        <w:t>subject</w:t>
      </w:r>
      <w:r w:rsidR="002514B0">
        <w:t xml:space="preserve"> </w:t>
      </w:r>
      <w:r w:rsidRPr="003C7F6D">
        <w:t>to</w:t>
      </w:r>
      <w:r w:rsidR="002514B0">
        <w:t xml:space="preserve"> </w:t>
      </w:r>
      <w:r w:rsidRPr="003C7F6D">
        <w:t>ratemaking</w:t>
      </w:r>
      <w:r w:rsidR="002514B0">
        <w:t xml:space="preserve"> </w:t>
      </w:r>
      <w:r w:rsidRPr="003C7F6D">
        <w:t>treatment,</w:t>
      </w:r>
      <w:r w:rsidR="002514B0">
        <w:t xml:space="preserve"> </w:t>
      </w:r>
      <w:r w:rsidRPr="003C7F6D">
        <w:t>including</w:t>
      </w:r>
      <w:r w:rsidR="002514B0">
        <w:t xml:space="preserve"> </w:t>
      </w:r>
      <w:r w:rsidRPr="003C7F6D">
        <w:t>an</w:t>
      </w:r>
      <w:r w:rsidR="002514B0">
        <w:t xml:space="preserve"> </w:t>
      </w:r>
      <w:r w:rsidRPr="003C7F6D">
        <w:t>allocation</w:t>
      </w:r>
      <w:r w:rsidR="002514B0">
        <w:t xml:space="preserve"> </w:t>
      </w:r>
      <w:r w:rsidRPr="003C7F6D">
        <w:t>of</w:t>
      </w:r>
      <w:r w:rsidR="002514B0">
        <w:t xml:space="preserve"> </w:t>
      </w:r>
      <w:r w:rsidRPr="003C7F6D">
        <w:t>total</w:t>
      </w:r>
      <w:r w:rsidR="002514B0">
        <w:t xml:space="preserve"> </w:t>
      </w:r>
      <w:r w:rsidRPr="003C7F6D">
        <w:t>costs</w:t>
      </w:r>
      <w:r w:rsidR="002514B0">
        <w:t xml:space="preserve"> </w:t>
      </w:r>
      <w:r w:rsidRPr="003C7F6D">
        <w:t>among</w:t>
      </w:r>
      <w:r w:rsidR="002514B0">
        <w:t xml:space="preserve"> </w:t>
      </w:r>
      <w:r w:rsidRPr="003C7F6D">
        <w:t>the</w:t>
      </w:r>
      <w:r w:rsidR="002514B0">
        <w:t xml:space="preserve"> </w:t>
      </w:r>
      <w:r w:rsidRPr="003C7F6D">
        <w:t>rate</w:t>
      </w:r>
      <w:r w:rsidR="002514B0">
        <w:t xml:space="preserve"> </w:t>
      </w:r>
      <w:r w:rsidRPr="003C7F6D">
        <w:t>classes</w:t>
      </w:r>
      <w:r w:rsidR="002514B0">
        <w:t xml:space="preserve"> </w:t>
      </w:r>
      <w:r w:rsidRPr="003C7F6D">
        <w:t>(i.e.,</w:t>
      </w:r>
      <w:r w:rsidR="002514B0">
        <w:t xml:space="preserve"> </w:t>
      </w:r>
      <w:r w:rsidRPr="003C7F6D">
        <w:t>matching</w:t>
      </w:r>
      <w:r w:rsidR="002514B0">
        <w:t xml:space="preserve"> </w:t>
      </w:r>
      <w:r w:rsidRPr="003C7F6D">
        <w:t>the</w:t>
      </w:r>
      <w:r w:rsidR="002514B0">
        <w:t xml:space="preserve"> </w:t>
      </w:r>
      <w:r w:rsidRPr="003C7F6D">
        <w:t>allocation</w:t>
      </w:r>
      <w:r w:rsidR="002514B0">
        <w:t xml:space="preserve"> </w:t>
      </w:r>
      <w:r w:rsidRPr="003C7F6D">
        <w:t>of</w:t>
      </w:r>
      <w:r w:rsidR="002514B0">
        <w:t xml:space="preserve"> </w:t>
      </w:r>
      <w:r w:rsidRPr="003C7F6D">
        <w:t>total</w:t>
      </w:r>
      <w:r w:rsidR="002514B0">
        <w:t xml:space="preserve"> </w:t>
      </w:r>
      <w:r w:rsidRPr="003C7F6D">
        <w:t>costs</w:t>
      </w:r>
      <w:r w:rsidR="002514B0">
        <w:t xml:space="preserve"> </w:t>
      </w:r>
      <w:r w:rsidRPr="003C7F6D">
        <w:t>to</w:t>
      </w:r>
      <w:r w:rsidR="002514B0">
        <w:t xml:space="preserve"> </w:t>
      </w:r>
      <w:r w:rsidRPr="003C7F6D">
        <w:t>the</w:t>
      </w:r>
      <w:r w:rsidR="002514B0">
        <w:t xml:space="preserve"> </w:t>
      </w:r>
      <w:r w:rsidRPr="003C7F6D">
        <w:t>total</w:t>
      </w:r>
      <w:r w:rsidR="002514B0">
        <w:t xml:space="preserve"> </w:t>
      </w:r>
      <w:r w:rsidRPr="003C7F6D">
        <w:t>revenues</w:t>
      </w:r>
      <w:r w:rsidR="002514B0">
        <w:t xml:space="preserve"> </w:t>
      </w:r>
      <w:r w:rsidRPr="003C7F6D">
        <w:t>of</w:t>
      </w:r>
      <w:r w:rsidR="002514B0">
        <w:t xml:space="preserve"> </w:t>
      </w:r>
      <w:r w:rsidRPr="003C7F6D">
        <w:t>each</w:t>
      </w:r>
      <w:r w:rsidR="002514B0">
        <w:t xml:space="preserve"> </w:t>
      </w:r>
      <w:r w:rsidRPr="003C7F6D">
        <w:t>ratepayer</w:t>
      </w:r>
      <w:r w:rsidR="002514B0">
        <w:t xml:space="preserve"> </w:t>
      </w:r>
      <w:r w:rsidRPr="003C7F6D">
        <w:t>class)</w:t>
      </w:r>
      <w:r w:rsidR="002514B0">
        <w:t xml:space="preserve"> </w:t>
      </w:r>
      <w:r w:rsidRPr="003C7F6D">
        <w:t>as</w:t>
      </w:r>
      <w:r w:rsidR="002514B0">
        <w:t xml:space="preserve"> </w:t>
      </w:r>
      <w:r w:rsidRPr="003C7F6D">
        <w:t>part</w:t>
      </w:r>
      <w:r w:rsidR="002514B0">
        <w:t xml:space="preserve"> </w:t>
      </w:r>
      <w:r w:rsidRPr="003C7F6D">
        <w:t>of</w:t>
      </w:r>
      <w:r w:rsidR="002514B0">
        <w:t xml:space="preserve"> </w:t>
      </w:r>
      <w:r w:rsidRPr="003C7F6D">
        <w:t>each</w:t>
      </w:r>
      <w:r w:rsidR="002514B0">
        <w:t xml:space="preserve"> </w:t>
      </w:r>
      <w:r w:rsidRPr="003C7F6D">
        <w:t>fully</w:t>
      </w:r>
      <w:r w:rsidR="002514B0">
        <w:t xml:space="preserve"> </w:t>
      </w:r>
      <w:r w:rsidRPr="003C7F6D">
        <w:t>allocated</w:t>
      </w:r>
      <w:r w:rsidR="002514B0">
        <w:t xml:space="preserve"> </w:t>
      </w:r>
      <w:r w:rsidRPr="003C7F6D">
        <w:t>electric</w:t>
      </w:r>
      <w:r w:rsidR="002514B0">
        <w:t xml:space="preserve"> </w:t>
      </w:r>
      <w:r w:rsidRPr="003C7F6D">
        <w:t>and</w:t>
      </w:r>
      <w:r w:rsidR="002514B0">
        <w:t xml:space="preserve"> </w:t>
      </w:r>
      <w:r w:rsidRPr="003C7F6D">
        <w:t>gas</w:t>
      </w:r>
      <w:r w:rsidR="002514B0">
        <w:t xml:space="preserve"> </w:t>
      </w:r>
      <w:r w:rsidRPr="003C7F6D">
        <w:t>cost</w:t>
      </w:r>
      <w:r w:rsidR="002514B0">
        <w:t xml:space="preserve"> </w:t>
      </w:r>
      <w:r w:rsidRPr="003C7F6D">
        <w:t>of</w:t>
      </w:r>
      <w:r w:rsidR="002514B0">
        <w:t xml:space="preserve"> </w:t>
      </w:r>
      <w:r w:rsidRPr="003C7F6D">
        <w:t>service</w:t>
      </w:r>
      <w:r w:rsidR="002514B0">
        <w:t xml:space="preserve"> </w:t>
      </w:r>
      <w:r w:rsidRPr="003C7F6D">
        <w:t>study</w:t>
      </w:r>
      <w:r w:rsidR="002514B0">
        <w:t xml:space="preserve"> </w:t>
      </w:r>
      <w:r w:rsidRPr="003C7F6D">
        <w:t>(i.e.,</w:t>
      </w:r>
      <w:r w:rsidR="002514B0">
        <w:t xml:space="preserve"> </w:t>
      </w:r>
      <w:r w:rsidRPr="003C7F6D">
        <w:t>Period</w:t>
      </w:r>
      <w:r w:rsidR="002514B0">
        <w:t xml:space="preserve"> </w:t>
      </w:r>
      <w:r w:rsidRPr="003C7F6D">
        <w:t>I,</w:t>
      </w:r>
      <w:r w:rsidR="002514B0">
        <w:t xml:space="preserve"> </w:t>
      </w:r>
      <w:r w:rsidRPr="003C7F6D">
        <w:t>Period</w:t>
      </w:r>
      <w:r w:rsidR="002514B0">
        <w:t xml:space="preserve"> </w:t>
      </w:r>
      <w:r w:rsidRPr="003C7F6D">
        <w:t>II,</w:t>
      </w:r>
      <w:r w:rsidR="002514B0">
        <w:t xml:space="preserve"> </w:t>
      </w:r>
      <w:r w:rsidRPr="003C7F6D">
        <w:t>and</w:t>
      </w:r>
      <w:r w:rsidR="002514B0">
        <w:t xml:space="preserve"> </w:t>
      </w:r>
      <w:r w:rsidRPr="003C7F6D">
        <w:t>any</w:t>
      </w:r>
      <w:r w:rsidR="002514B0">
        <w:t xml:space="preserve"> </w:t>
      </w:r>
      <w:r w:rsidRPr="003C7F6D">
        <w:t>out</w:t>
      </w:r>
      <w:r w:rsidR="002514B0">
        <w:t xml:space="preserve"> </w:t>
      </w:r>
      <w:r w:rsidRPr="003C7F6D">
        <w:t>of</w:t>
      </w:r>
      <w:r w:rsidR="002514B0">
        <w:t xml:space="preserve"> </w:t>
      </w:r>
      <w:r w:rsidRPr="003C7F6D">
        <w:t>period</w:t>
      </w:r>
      <w:r w:rsidR="002514B0">
        <w:t xml:space="preserve"> </w:t>
      </w:r>
      <w:r w:rsidRPr="003C7F6D">
        <w:t>adjustments).”</w:t>
      </w:r>
      <w:r w:rsidR="002514B0">
        <w:t xml:space="preserve"> </w:t>
      </w:r>
      <w:r w:rsidRPr="003C7F6D">
        <w:t>Advisors</w:t>
      </w:r>
      <w:r w:rsidR="002514B0">
        <w:t xml:space="preserve"> </w:t>
      </w:r>
      <w:r w:rsidRPr="003C7F6D">
        <w:t>Initial</w:t>
      </w:r>
      <w:r w:rsidR="002514B0">
        <w:t xml:space="preserve"> </w:t>
      </w:r>
      <w:r w:rsidRPr="003C7F6D">
        <w:t>Brief</w:t>
      </w:r>
      <w:r w:rsidR="002514B0">
        <w:t xml:space="preserve"> </w:t>
      </w:r>
      <w:r w:rsidRPr="003C7F6D">
        <w:t>Combined</w:t>
      </w:r>
      <w:r w:rsidR="002514B0">
        <w:t xml:space="preserve"> </w:t>
      </w:r>
      <w:r w:rsidRPr="003C7F6D">
        <w:t>Rate</w:t>
      </w:r>
      <w:r w:rsidR="002514B0">
        <w:t xml:space="preserve"> </w:t>
      </w:r>
      <w:r w:rsidRPr="003C7F6D">
        <w:t>Case</w:t>
      </w:r>
      <w:r w:rsidR="002514B0">
        <w:t xml:space="preserve"> </w:t>
      </w:r>
      <w:r w:rsidRPr="003C7F6D">
        <w:t>UD-18-07,</w:t>
      </w:r>
      <w:r w:rsidR="002514B0">
        <w:t xml:space="preserve"> </w:t>
      </w:r>
      <w:r w:rsidRPr="003C7F6D">
        <w:t>p</w:t>
      </w:r>
      <w:r w:rsidR="002514B0">
        <w:t xml:space="preserve"> </w:t>
      </w:r>
      <w:r w:rsidRPr="003C7F6D">
        <w:t>20.</w:t>
      </w:r>
    </w:p>
    <w:p w14:paraId="23E08932" w14:textId="7D8054ED" w:rsidR="00064848" w:rsidRPr="003C7F6D" w:rsidRDefault="00064848" w:rsidP="00064848">
      <w:pPr>
        <w:pStyle w:val="BodyText"/>
      </w:pPr>
      <w:r w:rsidRPr="003C7F6D">
        <w:t>Cost-of-Energy</w:t>
      </w:r>
      <w:r w:rsidR="002514B0">
        <w:t xml:space="preserve"> </w:t>
      </w:r>
      <w:r w:rsidRPr="003C7F6D">
        <w:t>has</w:t>
      </w:r>
      <w:r w:rsidR="002514B0">
        <w:t xml:space="preserve"> </w:t>
      </w:r>
      <w:r w:rsidRPr="003C7F6D">
        <w:t>been</w:t>
      </w:r>
      <w:r w:rsidR="002514B0">
        <w:t xml:space="preserve"> </w:t>
      </w:r>
      <w:r w:rsidRPr="003C7F6D">
        <w:t>“improperly”</w:t>
      </w:r>
      <w:r w:rsidR="002514B0">
        <w:t xml:space="preserve"> </w:t>
      </w:r>
      <w:r w:rsidRPr="003C7F6D">
        <w:t>entangled</w:t>
      </w:r>
      <w:r w:rsidR="002514B0">
        <w:t xml:space="preserve"> </w:t>
      </w:r>
      <w:r w:rsidRPr="003C7F6D">
        <w:t>with</w:t>
      </w:r>
      <w:r w:rsidR="002514B0">
        <w:t xml:space="preserve"> </w:t>
      </w:r>
      <w:r w:rsidRPr="003C7F6D">
        <w:t>capital</w:t>
      </w:r>
      <w:r w:rsidR="002514B0">
        <w:t xml:space="preserve"> </w:t>
      </w:r>
      <w:r w:rsidRPr="003C7F6D">
        <w:t>costs</w:t>
      </w:r>
      <w:r w:rsidR="002514B0">
        <w:t xml:space="preserve"> </w:t>
      </w:r>
      <w:r w:rsidRPr="003C7F6D">
        <w:t>since</w:t>
      </w:r>
      <w:r w:rsidR="002514B0">
        <w:t xml:space="preserve"> </w:t>
      </w:r>
      <w:r w:rsidRPr="003C7F6D">
        <w:t>Grand</w:t>
      </w:r>
      <w:r w:rsidR="002514B0">
        <w:t xml:space="preserve"> </w:t>
      </w:r>
      <w:r w:rsidRPr="003C7F6D">
        <w:t>Gulf’s</w:t>
      </w:r>
      <w:r w:rsidR="002514B0">
        <w:t xml:space="preserve"> </w:t>
      </w:r>
      <w:r w:rsidRPr="003C7F6D">
        <w:t>costs</w:t>
      </w:r>
      <w:r w:rsidR="002514B0">
        <w:t xml:space="preserve"> </w:t>
      </w:r>
      <w:r w:rsidRPr="003C7F6D">
        <w:t>were</w:t>
      </w:r>
      <w:r w:rsidR="002514B0">
        <w:t xml:space="preserve"> </w:t>
      </w:r>
      <w:r w:rsidRPr="003C7F6D">
        <w:t>put</w:t>
      </w:r>
      <w:r w:rsidR="002514B0">
        <w:t xml:space="preserve"> </w:t>
      </w:r>
      <w:r w:rsidRPr="003C7F6D">
        <w:t>into</w:t>
      </w:r>
      <w:r w:rsidR="002514B0">
        <w:t xml:space="preserve"> </w:t>
      </w:r>
      <w:r w:rsidRPr="003C7F6D">
        <w:t>the</w:t>
      </w:r>
      <w:r w:rsidR="002514B0">
        <w:t xml:space="preserve"> </w:t>
      </w:r>
      <w:r w:rsidRPr="003C7F6D">
        <w:t>FAC.</w:t>
      </w:r>
      <w:r w:rsidR="00F7247C" w:rsidRPr="001335D6">
        <w:rPr>
          <w:rStyle w:val="FootnoteReference"/>
        </w:rPr>
        <w:footnoteReference w:id="23"/>
      </w:r>
      <w:r w:rsidR="001335D6" w:rsidRPr="001335D6">
        <w:rPr>
          <w:vertAlign w:val="superscript"/>
        </w:rPr>
        <w:t xml:space="preserve">, </w:t>
      </w:r>
      <w:r w:rsidR="001335D6">
        <w:rPr>
          <w:rStyle w:val="FootnoteReference"/>
        </w:rPr>
        <w:footnoteReference w:id="24"/>
      </w:r>
      <w:r w:rsidR="00C81E0D">
        <w:rPr>
          <w:vertAlign w:val="superscript"/>
        </w:rPr>
        <w:t xml:space="preserve">, </w:t>
      </w:r>
      <w:r w:rsidR="00C81E0D">
        <w:rPr>
          <w:rStyle w:val="FootnoteReference"/>
        </w:rPr>
        <w:footnoteReference w:id="25"/>
      </w:r>
      <w:r w:rsidR="002514B0">
        <w:t xml:space="preserve"> </w:t>
      </w:r>
      <w:r w:rsidRPr="003C7F6D">
        <w:t>However,</w:t>
      </w:r>
      <w:r w:rsidR="002514B0">
        <w:t xml:space="preserve"> </w:t>
      </w:r>
      <w:r w:rsidRPr="003C7F6D">
        <w:t>40</w:t>
      </w:r>
      <w:r w:rsidR="002514B0">
        <w:t xml:space="preserve"> </w:t>
      </w:r>
      <w:r w:rsidRPr="003C7F6D">
        <w:t>years</w:t>
      </w:r>
      <w:r w:rsidR="002514B0">
        <w:t xml:space="preserve"> </w:t>
      </w:r>
      <w:r w:rsidRPr="003C7F6D">
        <w:t>ago,</w:t>
      </w:r>
      <w:r w:rsidR="002514B0">
        <w:t xml:space="preserve"> </w:t>
      </w:r>
      <w:r w:rsidRPr="003C7F6D">
        <w:t>the</w:t>
      </w:r>
      <w:r w:rsidR="002514B0">
        <w:t xml:space="preserve"> </w:t>
      </w:r>
      <w:r w:rsidRPr="003C7F6D">
        <w:t>technology</w:t>
      </w:r>
      <w:r w:rsidR="002514B0">
        <w:t xml:space="preserve"> </w:t>
      </w:r>
      <w:r>
        <w:t>may</w:t>
      </w:r>
      <w:r w:rsidR="002514B0">
        <w:t xml:space="preserve"> </w:t>
      </w:r>
      <w:r w:rsidRPr="003C7F6D">
        <w:t>not</w:t>
      </w:r>
      <w:r w:rsidR="002514B0">
        <w:t xml:space="preserve"> </w:t>
      </w:r>
      <w:r>
        <w:t>have</w:t>
      </w:r>
      <w:r w:rsidR="002514B0">
        <w:t xml:space="preserve"> </w:t>
      </w:r>
      <w:r>
        <w:t>been</w:t>
      </w:r>
      <w:r w:rsidR="002514B0">
        <w:t xml:space="preserve"> </w:t>
      </w:r>
      <w:r w:rsidRPr="003C7F6D">
        <w:t>readily</w:t>
      </w:r>
      <w:r w:rsidR="002514B0">
        <w:t xml:space="preserve"> </w:t>
      </w:r>
      <w:r w:rsidRPr="003C7F6D">
        <w:t>available</w:t>
      </w:r>
      <w:r w:rsidR="002514B0">
        <w:t xml:space="preserve"> </w:t>
      </w:r>
      <w:r w:rsidRPr="003C7F6D">
        <w:t>to</w:t>
      </w:r>
      <w:r w:rsidR="002514B0">
        <w:t xml:space="preserve"> </w:t>
      </w:r>
      <w:r w:rsidRPr="003C7F6D">
        <w:t>facilitate</w:t>
      </w:r>
      <w:r w:rsidR="002514B0">
        <w:t xml:space="preserve"> </w:t>
      </w:r>
      <w:r w:rsidRPr="003C7F6D">
        <w:t>sufficiently</w:t>
      </w:r>
      <w:r w:rsidR="002514B0">
        <w:t xml:space="preserve"> </w:t>
      </w:r>
      <w:r w:rsidRPr="003C7F6D">
        <w:t>accurate</w:t>
      </w:r>
      <w:r w:rsidR="002514B0">
        <w:t xml:space="preserve"> </w:t>
      </w:r>
      <w:r w:rsidR="00F5702E">
        <w:t>c</w:t>
      </w:r>
      <w:r w:rsidRPr="003C7F6D">
        <w:t>ost-of</w:t>
      </w:r>
      <w:r w:rsidR="00F5702E">
        <w:t>-e</w:t>
      </w:r>
      <w:r w:rsidRPr="003C7F6D">
        <w:t>nergy</w:t>
      </w:r>
      <w:r w:rsidR="002514B0">
        <w:t xml:space="preserve"> </w:t>
      </w:r>
      <w:r w:rsidRPr="003C7F6D">
        <w:t>tracking.</w:t>
      </w:r>
      <w:r w:rsidR="002514B0">
        <w:t xml:space="preserve"> </w:t>
      </w:r>
    </w:p>
    <w:p w14:paraId="77FC0134" w14:textId="21169ABE" w:rsidR="00064848" w:rsidRPr="003C7F6D" w:rsidRDefault="00064848" w:rsidP="00064848">
      <w:pPr>
        <w:pStyle w:val="BodyText"/>
      </w:pPr>
      <w:r w:rsidRPr="003C7F6D">
        <w:t>That</w:t>
      </w:r>
      <w:r w:rsidR="002514B0">
        <w:t xml:space="preserve"> </w:t>
      </w:r>
      <w:r w:rsidRPr="003C7F6D">
        <w:t>is</w:t>
      </w:r>
      <w:r w:rsidR="002514B0">
        <w:t xml:space="preserve"> </w:t>
      </w:r>
      <w:r w:rsidRPr="003C7F6D">
        <w:t>not</w:t>
      </w:r>
      <w:r w:rsidR="002514B0">
        <w:t xml:space="preserve"> </w:t>
      </w:r>
      <w:r w:rsidRPr="003C7F6D">
        <w:t>the</w:t>
      </w:r>
      <w:r w:rsidR="002514B0">
        <w:t xml:space="preserve"> </w:t>
      </w:r>
      <w:r w:rsidRPr="003C7F6D">
        <w:t>case</w:t>
      </w:r>
      <w:r w:rsidR="002514B0">
        <w:t xml:space="preserve"> </w:t>
      </w:r>
      <w:r w:rsidRPr="003C7F6D">
        <w:t>in</w:t>
      </w:r>
      <w:r w:rsidR="002514B0">
        <w:t xml:space="preserve"> </w:t>
      </w:r>
      <w:r w:rsidRPr="003C7F6D">
        <w:t>2019</w:t>
      </w:r>
      <w:r w:rsidR="003063B1">
        <w:t>,</w:t>
      </w:r>
      <w:r w:rsidR="002514B0">
        <w:t xml:space="preserve"> </w:t>
      </w:r>
      <w:r w:rsidRPr="003C7F6D">
        <w:t>because</w:t>
      </w:r>
      <w:r w:rsidR="002514B0">
        <w:t xml:space="preserve"> </w:t>
      </w:r>
      <w:r w:rsidRPr="003C7F6D">
        <w:t>an</w:t>
      </w:r>
      <w:r w:rsidR="002514B0">
        <w:t xml:space="preserve"> </w:t>
      </w:r>
      <w:r w:rsidRPr="003C7F6D">
        <w:t>excellent</w:t>
      </w:r>
      <w:r w:rsidR="002514B0">
        <w:t xml:space="preserve"> </w:t>
      </w:r>
      <w:r w:rsidRPr="003C7F6D">
        <w:t>alternative</w:t>
      </w:r>
      <w:r w:rsidR="002514B0">
        <w:t xml:space="preserve"> </w:t>
      </w:r>
      <w:r w:rsidRPr="003C7F6D">
        <w:t>for</w:t>
      </w:r>
      <w:r w:rsidR="002514B0">
        <w:t xml:space="preserve"> </w:t>
      </w:r>
      <w:r w:rsidRPr="003C7F6D">
        <w:t>ENO’s</w:t>
      </w:r>
      <w:r w:rsidR="002514B0">
        <w:t xml:space="preserve"> </w:t>
      </w:r>
      <w:r w:rsidR="00F5702E">
        <w:t>c</w:t>
      </w:r>
      <w:r w:rsidRPr="003C7F6D">
        <w:t>ost-of-</w:t>
      </w:r>
      <w:r w:rsidR="00F5702E">
        <w:t>e</w:t>
      </w:r>
      <w:r w:rsidRPr="003C7F6D">
        <w:t>nergy</w:t>
      </w:r>
      <w:r w:rsidR="002514B0">
        <w:t xml:space="preserve"> </w:t>
      </w:r>
      <w:r w:rsidRPr="003C7F6D">
        <w:t>is</w:t>
      </w:r>
      <w:r w:rsidR="002514B0">
        <w:t xml:space="preserve"> </w:t>
      </w:r>
      <w:r w:rsidRPr="003C7F6D">
        <w:t>the</w:t>
      </w:r>
      <w:r w:rsidR="002514B0">
        <w:t xml:space="preserve"> </w:t>
      </w:r>
      <w:r w:rsidRPr="003C7F6D">
        <w:t>weighted</w:t>
      </w:r>
      <w:r w:rsidR="002514B0">
        <w:t xml:space="preserve"> </w:t>
      </w:r>
      <w:r w:rsidRPr="003C7F6D">
        <w:t>average</w:t>
      </w:r>
      <w:r w:rsidR="002514B0">
        <w:t xml:space="preserve"> </w:t>
      </w:r>
      <w:r w:rsidRPr="003C7F6D">
        <w:t>MISO</w:t>
      </w:r>
      <w:r w:rsidR="002514B0">
        <w:t xml:space="preserve"> </w:t>
      </w:r>
      <w:r w:rsidRPr="003C7F6D">
        <w:t>price</w:t>
      </w:r>
      <w:r w:rsidR="003063B1">
        <w:t>,</w:t>
      </w:r>
      <w:r w:rsidR="002514B0">
        <w:t xml:space="preserve"> </w:t>
      </w:r>
      <w:r w:rsidRPr="003C7F6D">
        <w:t>which</w:t>
      </w:r>
      <w:r w:rsidR="002514B0">
        <w:t xml:space="preserve"> </w:t>
      </w:r>
      <w:r w:rsidRPr="003C7F6D">
        <w:t>is</w:t>
      </w:r>
      <w:r w:rsidR="002514B0">
        <w:t xml:space="preserve"> </w:t>
      </w:r>
      <w:r w:rsidRPr="003C7F6D">
        <w:t>easily</w:t>
      </w:r>
      <w:r w:rsidR="002514B0">
        <w:t xml:space="preserve"> </w:t>
      </w:r>
      <w:r w:rsidRPr="003C7F6D">
        <w:t>calculated</w:t>
      </w:r>
      <w:r w:rsidR="002514B0">
        <w:t xml:space="preserve"> </w:t>
      </w:r>
      <w:r w:rsidRPr="003C7F6D">
        <w:t>each</w:t>
      </w:r>
      <w:r w:rsidR="002514B0">
        <w:t xml:space="preserve"> </w:t>
      </w:r>
      <w:r w:rsidRPr="003C7F6D">
        <w:t>month.</w:t>
      </w:r>
      <w:r w:rsidR="004A3BAF">
        <w:rPr>
          <w:rStyle w:val="FootnoteReference"/>
        </w:rPr>
        <w:footnoteReference w:id="26"/>
      </w:r>
      <w:r w:rsidR="002514B0">
        <w:t xml:space="preserve"> </w:t>
      </w:r>
    </w:p>
    <w:p w14:paraId="19C71105" w14:textId="2279AB2B" w:rsidR="00064848" w:rsidRPr="003C7F6D" w:rsidRDefault="00064848" w:rsidP="00064848">
      <w:pPr>
        <w:pStyle w:val="BodyText"/>
      </w:pPr>
      <w:r w:rsidRPr="003C7F6D">
        <w:t>Time</w:t>
      </w:r>
      <w:r w:rsidR="002514B0">
        <w:t xml:space="preserve"> </w:t>
      </w:r>
      <w:r w:rsidRPr="003C7F6D">
        <w:t>of</w:t>
      </w:r>
      <w:r w:rsidR="002514B0">
        <w:t xml:space="preserve"> </w:t>
      </w:r>
      <w:r w:rsidRPr="003C7F6D">
        <w:t>Use</w:t>
      </w:r>
      <w:r w:rsidR="002514B0">
        <w:t xml:space="preserve"> </w:t>
      </w:r>
      <w:r w:rsidRPr="003C7F6D">
        <w:t>rates</w:t>
      </w:r>
      <w:r w:rsidR="002514B0">
        <w:t xml:space="preserve"> </w:t>
      </w:r>
      <w:r w:rsidRPr="003C7F6D">
        <w:t>also</w:t>
      </w:r>
      <w:r w:rsidR="002514B0">
        <w:t xml:space="preserve"> </w:t>
      </w:r>
      <w:r w:rsidRPr="003C7F6D">
        <w:t>entangle</w:t>
      </w:r>
      <w:r w:rsidR="002514B0">
        <w:t xml:space="preserve"> </w:t>
      </w:r>
      <w:r w:rsidRPr="003C7F6D">
        <w:t>energy</w:t>
      </w:r>
      <w:r w:rsidR="002514B0">
        <w:t xml:space="preserve"> </w:t>
      </w:r>
      <w:r w:rsidRPr="003C7F6D">
        <w:t>and</w:t>
      </w:r>
      <w:r w:rsidR="002514B0">
        <w:t xml:space="preserve"> </w:t>
      </w:r>
      <w:r w:rsidRPr="003C7F6D">
        <w:t>capital</w:t>
      </w:r>
      <w:r w:rsidR="002514B0">
        <w:t xml:space="preserve"> </w:t>
      </w:r>
      <w:r w:rsidRPr="003C7F6D">
        <w:t>costs.</w:t>
      </w:r>
      <w:r w:rsidR="002514B0">
        <w:t xml:space="preserve"> </w:t>
      </w:r>
      <w:r>
        <w:t>CA</w:t>
      </w:r>
      <w:r w:rsidR="002514B0">
        <w:t xml:space="preserve"> </w:t>
      </w:r>
      <w:r>
        <w:t>experienced</w:t>
      </w:r>
      <w:r w:rsidR="002514B0">
        <w:t xml:space="preserve"> </w:t>
      </w:r>
      <w:r>
        <w:t>this</w:t>
      </w:r>
      <w:r w:rsidR="002514B0">
        <w:t xml:space="preserve"> </w:t>
      </w:r>
      <w:r>
        <w:t>challenge</w:t>
      </w:r>
      <w:r w:rsidR="004A3BAF">
        <w:t xml:space="preserve"> </w:t>
      </w:r>
      <w:r w:rsidRPr="003C7F6D">
        <w:t>roughly</w:t>
      </w:r>
      <w:r w:rsidR="002514B0">
        <w:t xml:space="preserve"> </w:t>
      </w:r>
      <w:r w:rsidRPr="003C7F6D">
        <w:t>20</w:t>
      </w:r>
      <w:r w:rsidR="002514B0">
        <w:t xml:space="preserve"> </w:t>
      </w:r>
      <w:r w:rsidRPr="003C7F6D">
        <w:t>years</w:t>
      </w:r>
      <w:r w:rsidR="002514B0">
        <w:t xml:space="preserve"> </w:t>
      </w:r>
      <w:r w:rsidRPr="003C7F6D">
        <w:t>ago</w:t>
      </w:r>
      <w:r w:rsidR="002514B0">
        <w:t xml:space="preserve"> </w:t>
      </w:r>
      <w:r w:rsidRPr="003C7F6D">
        <w:t>when</w:t>
      </w:r>
      <w:r w:rsidR="002514B0">
        <w:t xml:space="preserve"> </w:t>
      </w:r>
      <w:r>
        <w:t>they</w:t>
      </w:r>
      <w:r w:rsidR="002514B0">
        <w:t xml:space="preserve"> </w:t>
      </w:r>
      <w:r w:rsidRPr="003C7F6D">
        <w:t>introduced</w:t>
      </w:r>
      <w:r w:rsidR="002514B0">
        <w:t xml:space="preserve"> </w:t>
      </w:r>
      <w:r w:rsidRPr="003C7F6D">
        <w:t>optional</w:t>
      </w:r>
      <w:r w:rsidR="002514B0">
        <w:t xml:space="preserve"> </w:t>
      </w:r>
      <w:r w:rsidRPr="003C7F6D">
        <w:t>Time-of-Use</w:t>
      </w:r>
      <w:r w:rsidR="002514B0">
        <w:t xml:space="preserve"> </w:t>
      </w:r>
      <w:r w:rsidRPr="003C7F6D">
        <w:t>(TOU)</w:t>
      </w:r>
      <w:r w:rsidR="002514B0">
        <w:t xml:space="preserve"> </w:t>
      </w:r>
      <w:r w:rsidRPr="003C7F6D">
        <w:t>rates.</w:t>
      </w:r>
      <w:r w:rsidR="004A3BAF">
        <w:rPr>
          <w:rStyle w:val="FootnoteReference"/>
        </w:rPr>
        <w:footnoteReference w:id="27"/>
      </w:r>
      <w:r w:rsidR="002514B0">
        <w:t xml:space="preserve"> </w:t>
      </w:r>
    </w:p>
    <w:p w14:paraId="04E49A4D" w14:textId="5FA4E3CE" w:rsidR="00064848" w:rsidRPr="003C7F6D" w:rsidRDefault="00064848" w:rsidP="00064848">
      <w:pPr>
        <w:pStyle w:val="BodyText"/>
      </w:pPr>
      <w:r w:rsidRPr="003C7F6D">
        <w:t>Los</w:t>
      </w:r>
      <w:r w:rsidR="002514B0">
        <w:t xml:space="preserve"> </w:t>
      </w:r>
      <w:r w:rsidRPr="003C7F6D">
        <w:t>Angeles’</w:t>
      </w:r>
      <w:r w:rsidR="002514B0">
        <w:t xml:space="preserve"> </w:t>
      </w:r>
      <w:r w:rsidRPr="003C7F6D">
        <w:t>Muni’s</w:t>
      </w:r>
      <w:r w:rsidR="002514B0">
        <w:t xml:space="preserve"> </w:t>
      </w:r>
      <w:r w:rsidRPr="003C7F6D">
        <w:t>new</w:t>
      </w:r>
      <w:r w:rsidR="002514B0">
        <w:t xml:space="preserve"> </w:t>
      </w:r>
      <w:r w:rsidRPr="003C7F6D">
        <w:t>solar</w:t>
      </w:r>
      <w:r w:rsidR="002514B0">
        <w:t xml:space="preserve"> </w:t>
      </w:r>
      <w:r w:rsidRPr="003C7F6D">
        <w:t>&amp;</w:t>
      </w:r>
      <w:r w:rsidR="002514B0">
        <w:t xml:space="preserve"> </w:t>
      </w:r>
      <w:r w:rsidR="00F5702E">
        <w:t>b</w:t>
      </w:r>
      <w:r w:rsidRPr="003C7F6D">
        <w:t>attery</w:t>
      </w:r>
      <w:r w:rsidR="002514B0">
        <w:t xml:space="preserve"> </w:t>
      </w:r>
      <w:r w:rsidR="00F3270C">
        <w:t xml:space="preserve">Power Purchase Agreement </w:t>
      </w:r>
      <w:r w:rsidRPr="003C7F6D">
        <w:t>has</w:t>
      </w:r>
      <w:r w:rsidR="002514B0">
        <w:t xml:space="preserve"> </w:t>
      </w:r>
      <w:r w:rsidRPr="003C7F6D">
        <w:t>the</w:t>
      </w:r>
      <w:r w:rsidR="002514B0">
        <w:t xml:space="preserve"> </w:t>
      </w:r>
      <w:r w:rsidRPr="003C7F6D">
        <w:t>same</w:t>
      </w:r>
      <w:r w:rsidR="002514B0">
        <w:t xml:space="preserve"> </w:t>
      </w:r>
      <w:r w:rsidRPr="003C7F6D">
        <w:t>issue.</w:t>
      </w:r>
      <w:r w:rsidR="004A3BAF">
        <w:rPr>
          <w:rStyle w:val="FootnoteReference"/>
        </w:rPr>
        <w:footnoteReference w:id="28"/>
      </w:r>
    </w:p>
    <w:p w14:paraId="51003943" w14:textId="4AE3D382" w:rsidR="00064848" w:rsidRPr="003C7F6D" w:rsidRDefault="00064848" w:rsidP="00064848">
      <w:pPr>
        <w:pStyle w:val="Heading2"/>
      </w:pPr>
      <w:bookmarkStart w:id="65" w:name="_Toc16165406"/>
      <w:bookmarkStart w:id="66" w:name="_Toc16175738"/>
      <w:bookmarkStart w:id="67" w:name="_Toc16317733"/>
      <w:bookmarkStart w:id="68" w:name="_Toc16254897"/>
      <w:r w:rsidRPr="003C7F6D">
        <w:lastRenderedPageBreak/>
        <w:t>CLEP</w:t>
      </w:r>
      <w:r w:rsidR="002514B0">
        <w:t xml:space="preserve"> </w:t>
      </w:r>
      <w:r w:rsidRPr="003C7F6D">
        <w:t>directly</w:t>
      </w:r>
      <w:r w:rsidR="002514B0">
        <w:t xml:space="preserve"> </w:t>
      </w:r>
      <w:r w:rsidRPr="003C7F6D">
        <w:t>lowers</w:t>
      </w:r>
      <w:r w:rsidR="002514B0">
        <w:t xml:space="preserve"> </w:t>
      </w:r>
      <w:r w:rsidRPr="003C7F6D">
        <w:t>the</w:t>
      </w:r>
      <w:r w:rsidR="002514B0">
        <w:t xml:space="preserve"> </w:t>
      </w:r>
      <w:r w:rsidRPr="003C7F6D">
        <w:t>Cost-of-Energy</w:t>
      </w:r>
      <w:r w:rsidR="002514B0">
        <w:t xml:space="preserve"> </w:t>
      </w:r>
      <w:r w:rsidRPr="003C7F6D">
        <w:t>RIDER</w:t>
      </w:r>
      <w:r w:rsidR="002514B0">
        <w:t xml:space="preserve"> </w:t>
      </w:r>
      <w:r w:rsidRPr="003C7F6D">
        <w:t>by</w:t>
      </w:r>
      <w:r w:rsidR="002514B0">
        <w:t xml:space="preserve"> </w:t>
      </w:r>
      <w:r w:rsidRPr="003C7F6D">
        <w:t>design</w:t>
      </w:r>
      <w:bookmarkEnd w:id="65"/>
      <w:bookmarkEnd w:id="66"/>
      <w:r w:rsidR="00BC7E53">
        <w:t>.</w:t>
      </w:r>
      <w:r w:rsidR="004A3BAF">
        <w:rPr>
          <w:rStyle w:val="FootnoteReference"/>
        </w:rPr>
        <w:footnoteReference w:id="29"/>
      </w:r>
      <w:bookmarkEnd w:id="67"/>
      <w:bookmarkEnd w:id="68"/>
      <w:r w:rsidR="002514B0">
        <w:t xml:space="preserve"> </w:t>
      </w:r>
    </w:p>
    <w:p w14:paraId="10A1AF83" w14:textId="52FA5C85" w:rsidR="00064848" w:rsidRPr="003C7F6D" w:rsidRDefault="00064848" w:rsidP="00064848">
      <w:pPr>
        <w:pStyle w:val="BodyText"/>
      </w:pPr>
      <w:r w:rsidRPr="003C7F6D">
        <w:t>CLEP</w:t>
      </w:r>
      <w:r w:rsidR="002514B0">
        <w:t xml:space="preserve"> </w:t>
      </w:r>
      <w:r w:rsidRPr="003C7F6D">
        <w:t>helps</w:t>
      </w:r>
      <w:r w:rsidR="002514B0">
        <w:t xml:space="preserve"> </w:t>
      </w:r>
      <w:r w:rsidRPr="003C7F6D">
        <w:t>to</w:t>
      </w:r>
      <w:r w:rsidR="002514B0">
        <w:t xml:space="preserve"> </w:t>
      </w:r>
      <w:r w:rsidRPr="003C7F6D">
        <w:t>extinguish</w:t>
      </w:r>
      <w:r w:rsidR="002514B0">
        <w:t xml:space="preserve"> </w:t>
      </w:r>
      <w:r w:rsidRPr="003C7F6D">
        <w:t>cross-subsidies</w:t>
      </w:r>
      <w:r w:rsidR="002514B0">
        <w:t xml:space="preserve"> </w:t>
      </w:r>
      <w:r w:rsidRPr="003C7F6D">
        <w:t>among</w:t>
      </w:r>
      <w:r w:rsidR="002514B0">
        <w:t xml:space="preserve"> </w:t>
      </w:r>
      <w:r w:rsidRPr="003C7F6D">
        <w:t>customers</w:t>
      </w:r>
      <w:r w:rsidR="002514B0">
        <w:t xml:space="preserve"> </w:t>
      </w:r>
      <w:r w:rsidRPr="003C7F6D">
        <w:rPr>
          <w:rStyle w:val="BodyTextChar"/>
        </w:rPr>
        <w:t>in</w:t>
      </w:r>
      <w:r w:rsidR="002514B0">
        <w:rPr>
          <w:rStyle w:val="BodyTextChar"/>
        </w:rPr>
        <w:t xml:space="preserve"> </w:t>
      </w:r>
      <w:r w:rsidRPr="003C7F6D">
        <w:rPr>
          <w:rStyle w:val="BodyTextChar"/>
        </w:rPr>
        <w:t>compliance</w:t>
      </w:r>
      <w:r w:rsidR="002514B0">
        <w:rPr>
          <w:rStyle w:val="BodyTextChar"/>
        </w:rPr>
        <w:t xml:space="preserve"> </w:t>
      </w:r>
      <w:r w:rsidRPr="003C7F6D">
        <w:rPr>
          <w:rStyle w:val="BodyTextChar"/>
        </w:rPr>
        <w:t>with</w:t>
      </w:r>
      <w:r w:rsidR="002514B0">
        <w:rPr>
          <w:rStyle w:val="BodyTextChar"/>
        </w:rPr>
        <w:t xml:space="preserve"> </w:t>
      </w:r>
      <w:r w:rsidRPr="003C7F6D">
        <w:rPr>
          <w:rStyle w:val="BodyTextChar"/>
        </w:rPr>
        <w:t>FERC’s</w:t>
      </w:r>
      <w:r w:rsidR="002514B0">
        <w:rPr>
          <w:rStyle w:val="BodyTextChar"/>
        </w:rPr>
        <w:t xml:space="preserve"> </w:t>
      </w:r>
      <w:r w:rsidRPr="003C7F6D">
        <w:rPr>
          <w:rStyle w:val="BodyTextChar"/>
        </w:rPr>
        <w:t>Cost-Causation</w:t>
      </w:r>
      <w:r w:rsidR="002514B0">
        <w:rPr>
          <w:rStyle w:val="BodyTextChar"/>
        </w:rPr>
        <w:t xml:space="preserve"> </w:t>
      </w:r>
      <w:r w:rsidRPr="003C7F6D">
        <w:rPr>
          <w:rStyle w:val="BodyTextChar"/>
        </w:rPr>
        <w:t>guidance</w:t>
      </w:r>
      <w:r w:rsidR="002514B0">
        <w:rPr>
          <w:rStyle w:val="BodyTextChar"/>
        </w:rPr>
        <w:t xml:space="preserve"> </w:t>
      </w:r>
      <w:r w:rsidRPr="003C7F6D">
        <w:rPr>
          <w:rStyle w:val="BodyTextChar"/>
        </w:rPr>
        <w:t>1992.</w:t>
      </w:r>
      <w:r w:rsidR="004A3BAF">
        <w:rPr>
          <w:rStyle w:val="FootnoteReference"/>
        </w:rPr>
        <w:footnoteReference w:id="30"/>
      </w:r>
      <w:r w:rsidR="002514B0">
        <w:rPr>
          <w:rStyle w:val="BodyTextChar"/>
        </w:rPr>
        <w:t xml:space="preserve"> </w:t>
      </w:r>
    </w:p>
    <w:p w14:paraId="25D6E4D8" w14:textId="44F49239" w:rsidR="00064848" w:rsidRPr="003C7F6D" w:rsidRDefault="00064848" w:rsidP="00064848">
      <w:pPr>
        <w:pStyle w:val="Heading2"/>
      </w:pPr>
      <w:bookmarkStart w:id="69" w:name="_Toc16165407"/>
      <w:bookmarkStart w:id="70" w:name="_Toc16175739"/>
      <w:bookmarkStart w:id="71" w:name="_Toc16317734"/>
      <w:bookmarkStart w:id="72" w:name="_Toc16254898"/>
      <w:r w:rsidRPr="003C7F6D">
        <w:t>Allocating</w:t>
      </w:r>
      <w:r w:rsidR="002514B0">
        <w:t xml:space="preserve"> </w:t>
      </w:r>
      <w:r w:rsidRPr="003C7F6D">
        <w:t>costs</w:t>
      </w:r>
      <w:r w:rsidR="002514B0">
        <w:t xml:space="preserve"> </w:t>
      </w:r>
      <w:r w:rsidRPr="003C7F6D">
        <w:t>among</w:t>
      </w:r>
      <w:r w:rsidR="002514B0">
        <w:t xml:space="preserve"> </w:t>
      </w:r>
      <w:r w:rsidRPr="003C7F6D">
        <w:t>rate</w:t>
      </w:r>
      <w:r w:rsidR="002514B0">
        <w:t xml:space="preserve"> </w:t>
      </w:r>
      <w:r w:rsidRPr="003C7F6D">
        <w:t>classes</w:t>
      </w:r>
      <w:r w:rsidR="002514B0">
        <w:t xml:space="preserve"> </w:t>
      </w:r>
      <w:r w:rsidRPr="003C7F6D">
        <w:t>starts</w:t>
      </w:r>
      <w:r w:rsidR="002514B0">
        <w:t xml:space="preserve"> </w:t>
      </w:r>
      <w:r w:rsidRPr="003C7F6D">
        <w:t>with</w:t>
      </w:r>
      <w:r w:rsidR="002514B0">
        <w:t xml:space="preserve"> </w:t>
      </w:r>
      <w:r w:rsidRPr="003C7F6D">
        <w:t>a</w:t>
      </w:r>
      <w:r w:rsidR="002514B0">
        <w:t xml:space="preserve"> </w:t>
      </w:r>
      <w:r w:rsidRPr="003C7F6D">
        <w:t>“12-point</w:t>
      </w:r>
      <w:r w:rsidR="002514B0">
        <w:t xml:space="preserve"> </w:t>
      </w:r>
      <w:r w:rsidRPr="003C7F6D">
        <w:t>Coincident</w:t>
      </w:r>
      <w:r w:rsidR="002514B0">
        <w:t xml:space="preserve"> </w:t>
      </w:r>
      <w:r w:rsidRPr="003C7F6D">
        <w:t>Demand”</w:t>
      </w:r>
      <w:r w:rsidR="002514B0">
        <w:t xml:space="preserve"> </w:t>
      </w:r>
      <w:r w:rsidRPr="003C7F6D">
        <w:t>(CD)</w:t>
      </w:r>
      <w:r w:rsidR="002514B0">
        <w:t xml:space="preserve"> </w:t>
      </w:r>
      <w:r w:rsidRPr="003C7F6D">
        <w:t>test</w:t>
      </w:r>
      <w:bookmarkEnd w:id="69"/>
      <w:bookmarkEnd w:id="70"/>
      <w:bookmarkEnd w:id="71"/>
      <w:bookmarkEnd w:id="72"/>
      <w:r w:rsidR="002514B0">
        <w:t xml:space="preserve"> </w:t>
      </w:r>
    </w:p>
    <w:p w14:paraId="40160B69" w14:textId="3DFE85A0" w:rsidR="00064848" w:rsidRPr="003C7F6D" w:rsidRDefault="00064848" w:rsidP="00064848">
      <w:pPr>
        <w:pStyle w:val="BodyText"/>
      </w:pPr>
      <w:r w:rsidRPr="003C7F6D">
        <w:t>The</w:t>
      </w:r>
      <w:r w:rsidR="002514B0">
        <w:t xml:space="preserve"> </w:t>
      </w:r>
      <w:r w:rsidRPr="003C7F6D">
        <w:t>12-point</w:t>
      </w:r>
      <w:r w:rsidR="002514B0">
        <w:t xml:space="preserve"> </w:t>
      </w:r>
      <w:r w:rsidRPr="003C7F6D">
        <w:t>CD</w:t>
      </w:r>
      <w:r w:rsidR="002514B0">
        <w:t xml:space="preserve"> </w:t>
      </w:r>
      <w:r w:rsidRPr="003C7F6D">
        <w:t>test</w:t>
      </w:r>
      <w:r w:rsidR="002514B0">
        <w:t xml:space="preserve"> </w:t>
      </w:r>
      <w:r w:rsidRPr="003C7F6D">
        <w:t>means</w:t>
      </w:r>
      <w:r w:rsidR="002514B0">
        <w:t xml:space="preserve"> </w:t>
      </w:r>
      <w:r>
        <w:t>identifying</w:t>
      </w:r>
      <w:r w:rsidR="002514B0">
        <w:t xml:space="preserve"> </w:t>
      </w:r>
      <w:r w:rsidRPr="003C7F6D">
        <w:t>the</w:t>
      </w:r>
      <w:r w:rsidR="002514B0">
        <w:t xml:space="preserve"> </w:t>
      </w:r>
      <w:r w:rsidRPr="003C7F6D">
        <w:t>top</w:t>
      </w:r>
      <w:r w:rsidR="002514B0">
        <w:t xml:space="preserve"> </w:t>
      </w:r>
      <w:r w:rsidRPr="000C4417">
        <w:t>12</w:t>
      </w:r>
      <w:r w:rsidR="002514B0" w:rsidRPr="000C4417">
        <w:t xml:space="preserve"> </w:t>
      </w:r>
      <w:r w:rsidRPr="000C4417">
        <w:t>peak</w:t>
      </w:r>
      <w:r w:rsidR="002514B0">
        <w:t xml:space="preserve"> </w:t>
      </w:r>
      <w:r w:rsidRPr="003C7F6D">
        <w:t>demand</w:t>
      </w:r>
      <w:r w:rsidR="002514B0">
        <w:t xml:space="preserve"> </w:t>
      </w:r>
      <w:r w:rsidRPr="003C7F6D">
        <w:t>incidents</w:t>
      </w:r>
      <w:r w:rsidR="002514B0">
        <w:t xml:space="preserve"> </w:t>
      </w:r>
      <w:r w:rsidRPr="003C7F6D">
        <w:t>in</w:t>
      </w:r>
      <w:r w:rsidR="002514B0">
        <w:t xml:space="preserve"> </w:t>
      </w:r>
      <w:r w:rsidRPr="003C7F6D">
        <w:t>the</w:t>
      </w:r>
      <w:r w:rsidR="002514B0">
        <w:t xml:space="preserve"> </w:t>
      </w:r>
      <w:r w:rsidRPr="003C7F6D">
        <w:t>last</w:t>
      </w:r>
      <w:r w:rsidR="002514B0">
        <w:t xml:space="preserve"> </w:t>
      </w:r>
      <w:r w:rsidRPr="003C7F6D">
        <w:t>test</w:t>
      </w:r>
      <w:r w:rsidR="002514B0">
        <w:t xml:space="preserve"> </w:t>
      </w:r>
      <w:r w:rsidRPr="003C7F6D">
        <w:t>year</w:t>
      </w:r>
      <w:r w:rsidR="002514B0">
        <w:t xml:space="preserve"> </w:t>
      </w:r>
      <w:r>
        <w:t>to</w:t>
      </w:r>
      <w:r w:rsidR="002514B0">
        <w:t xml:space="preserve"> </w:t>
      </w:r>
      <w:r w:rsidRPr="003C7F6D">
        <w:t>provide</w:t>
      </w:r>
      <w:r w:rsidR="002514B0">
        <w:t xml:space="preserve"> </w:t>
      </w:r>
      <w:r w:rsidRPr="003C7F6D">
        <w:t>a</w:t>
      </w:r>
      <w:r w:rsidR="002514B0">
        <w:t xml:space="preserve"> </w:t>
      </w:r>
      <w:r w:rsidRPr="003C7F6D">
        <w:t>determinative</w:t>
      </w:r>
      <w:r w:rsidR="002514B0">
        <w:t xml:space="preserve"> </w:t>
      </w:r>
      <w:r w:rsidRPr="003C7F6D">
        <w:t>metric</w:t>
      </w:r>
      <w:r w:rsidR="002514B0">
        <w:t xml:space="preserve"> </w:t>
      </w:r>
      <w:r w:rsidRPr="003C7F6D">
        <w:t>and</w:t>
      </w:r>
      <w:r w:rsidR="002514B0">
        <w:t xml:space="preserve"> </w:t>
      </w:r>
      <w:r w:rsidRPr="003C7F6D">
        <w:t>to</w:t>
      </w:r>
      <w:r w:rsidR="002514B0">
        <w:t xml:space="preserve"> </w:t>
      </w:r>
      <w:r w:rsidRPr="003C7F6D">
        <w:t>what</w:t>
      </w:r>
      <w:r w:rsidR="002514B0">
        <w:t xml:space="preserve"> </w:t>
      </w:r>
      <w:r w:rsidRPr="003C7F6D">
        <w:t>extent</w:t>
      </w:r>
      <w:r w:rsidR="002514B0">
        <w:t xml:space="preserve"> </w:t>
      </w:r>
      <w:r w:rsidRPr="003C7F6D">
        <w:t>does</w:t>
      </w:r>
      <w:r w:rsidR="002514B0">
        <w:t xml:space="preserve"> </w:t>
      </w:r>
      <w:r w:rsidRPr="003C7F6D">
        <w:t>each</w:t>
      </w:r>
      <w:r w:rsidR="002514B0">
        <w:t xml:space="preserve"> </w:t>
      </w:r>
      <w:r w:rsidRPr="003C7F6D">
        <w:t>customer</w:t>
      </w:r>
      <w:r w:rsidR="002514B0">
        <w:t xml:space="preserve"> </w:t>
      </w:r>
      <w:r w:rsidRPr="003C7F6D">
        <w:t>class</w:t>
      </w:r>
      <w:r w:rsidR="002514B0">
        <w:t xml:space="preserve"> </w:t>
      </w:r>
      <w:r w:rsidRPr="003C7F6D">
        <w:t>contribute</w:t>
      </w:r>
      <w:r w:rsidR="002514B0">
        <w:t xml:space="preserve"> </w:t>
      </w:r>
      <w:r w:rsidRPr="003C7F6D">
        <w:t>to</w:t>
      </w:r>
      <w:r w:rsidR="002514B0">
        <w:t xml:space="preserve"> </w:t>
      </w:r>
      <w:r w:rsidRPr="003C7F6D">
        <w:t>the</w:t>
      </w:r>
      <w:r w:rsidR="002514B0">
        <w:t xml:space="preserve"> </w:t>
      </w:r>
      <w:r w:rsidRPr="003C7F6D">
        <w:t>coincident</w:t>
      </w:r>
      <w:r w:rsidR="002514B0">
        <w:t xml:space="preserve"> </w:t>
      </w:r>
      <w:r w:rsidRPr="003C7F6D">
        <w:t>peak</w:t>
      </w:r>
      <w:r w:rsidR="002514B0">
        <w:t xml:space="preserve"> </w:t>
      </w:r>
      <w:r w:rsidRPr="003C7F6D">
        <w:t>demand</w:t>
      </w:r>
      <w:r w:rsidR="002514B0">
        <w:t xml:space="preserve"> </w:t>
      </w:r>
      <w:r w:rsidRPr="003C7F6D">
        <w:t>of</w:t>
      </w:r>
      <w:r w:rsidR="002514B0">
        <w:t xml:space="preserve"> </w:t>
      </w:r>
      <w:r w:rsidRPr="003C7F6D">
        <w:t>the</w:t>
      </w:r>
      <w:r w:rsidR="002514B0">
        <w:t xml:space="preserve"> </w:t>
      </w:r>
      <w:r w:rsidRPr="003C7F6D">
        <w:t>utility.</w:t>
      </w:r>
      <w:r w:rsidR="002514B0">
        <w:t xml:space="preserve"> </w:t>
      </w:r>
    </w:p>
    <w:p w14:paraId="28C085ED" w14:textId="6BB5CD7D" w:rsidR="00064848" w:rsidRPr="003C7F6D" w:rsidRDefault="00064848" w:rsidP="00064848">
      <w:pPr>
        <w:pStyle w:val="BodyText"/>
      </w:pPr>
      <w:r w:rsidRPr="003C7F6D">
        <w:t>12-point</w:t>
      </w:r>
      <w:r w:rsidR="002514B0">
        <w:t xml:space="preserve"> </w:t>
      </w:r>
      <w:r w:rsidRPr="003C7F6D">
        <w:t>CD</w:t>
      </w:r>
      <w:r w:rsidR="002514B0">
        <w:t xml:space="preserve"> </w:t>
      </w:r>
      <w:r w:rsidRPr="003C7F6D">
        <w:t>test</w:t>
      </w:r>
      <w:r w:rsidR="002514B0">
        <w:t xml:space="preserve"> </w:t>
      </w:r>
      <w:r w:rsidRPr="003C7F6D">
        <w:t>is</w:t>
      </w:r>
      <w:r w:rsidR="002514B0">
        <w:t xml:space="preserve"> </w:t>
      </w:r>
      <w:r w:rsidRPr="003C7F6D">
        <w:t>the</w:t>
      </w:r>
      <w:r w:rsidR="002514B0">
        <w:t xml:space="preserve"> </w:t>
      </w:r>
      <w:r w:rsidRPr="003C7F6D">
        <w:t>undisputed</w:t>
      </w:r>
      <w:r w:rsidR="002514B0">
        <w:t xml:space="preserve"> </w:t>
      </w:r>
      <w:r w:rsidRPr="003C7F6D">
        <w:t>metric</w:t>
      </w:r>
      <w:r w:rsidR="002514B0">
        <w:t xml:space="preserve"> </w:t>
      </w:r>
      <w:r w:rsidRPr="003C7F6D">
        <w:t>in</w:t>
      </w:r>
      <w:r w:rsidR="002514B0">
        <w:t xml:space="preserve"> </w:t>
      </w:r>
      <w:r w:rsidRPr="003C7F6D">
        <w:t>this</w:t>
      </w:r>
      <w:r w:rsidR="002514B0">
        <w:t xml:space="preserve"> </w:t>
      </w:r>
      <w:r w:rsidRPr="003C7F6D">
        <w:t>rate</w:t>
      </w:r>
      <w:r w:rsidR="002514B0">
        <w:t xml:space="preserve"> </w:t>
      </w:r>
      <w:r w:rsidRPr="003C7F6D">
        <w:t>case.</w:t>
      </w:r>
      <w:r w:rsidR="00922AE9">
        <w:rPr>
          <w:rStyle w:val="FootnoteReference"/>
        </w:rPr>
        <w:footnoteReference w:id="31"/>
      </w:r>
      <w:r w:rsidR="002514B0">
        <w:t xml:space="preserve"> </w:t>
      </w:r>
    </w:p>
    <w:p w14:paraId="7CDE9336" w14:textId="54EBFF4E" w:rsidR="00064848" w:rsidRPr="003C7F6D" w:rsidRDefault="00064848" w:rsidP="00064848">
      <w:pPr>
        <w:pStyle w:val="BodyText"/>
      </w:pPr>
      <w:r w:rsidRPr="003C7F6D">
        <w:t>The</w:t>
      </w:r>
      <w:r w:rsidR="002514B0">
        <w:t xml:space="preserve"> </w:t>
      </w:r>
      <w:r w:rsidRPr="003C7F6D">
        <w:t>fact</w:t>
      </w:r>
      <w:r w:rsidR="002514B0">
        <w:t xml:space="preserve"> </w:t>
      </w:r>
      <w:r w:rsidRPr="003C7F6D">
        <w:t>that</w:t>
      </w:r>
      <w:r w:rsidR="002514B0">
        <w:t xml:space="preserve"> </w:t>
      </w:r>
      <w:r w:rsidRPr="003C7F6D">
        <w:t>the</w:t>
      </w:r>
      <w:r w:rsidR="002514B0">
        <w:t xml:space="preserve"> </w:t>
      </w:r>
      <w:r w:rsidRPr="003C7F6D">
        <w:t>previous</w:t>
      </w:r>
      <w:r w:rsidR="002514B0">
        <w:t xml:space="preserve"> </w:t>
      </w:r>
      <w:r w:rsidRPr="003C7F6D">
        <w:t>rate</w:t>
      </w:r>
      <w:r w:rsidR="002514B0">
        <w:t xml:space="preserve"> </w:t>
      </w:r>
      <w:r w:rsidRPr="003C7F6D">
        <w:t>case</w:t>
      </w:r>
      <w:r w:rsidR="002514B0">
        <w:t xml:space="preserve"> </w:t>
      </w:r>
      <w:r w:rsidRPr="003C7F6D">
        <w:t>was</w:t>
      </w:r>
      <w:r w:rsidR="002514B0">
        <w:t xml:space="preserve"> </w:t>
      </w:r>
      <w:r w:rsidRPr="003C7F6D">
        <w:t>10</w:t>
      </w:r>
      <w:r w:rsidR="002514B0">
        <w:t xml:space="preserve"> </w:t>
      </w:r>
      <w:r w:rsidRPr="003C7F6D">
        <w:t>years</w:t>
      </w:r>
      <w:r w:rsidR="002514B0">
        <w:t xml:space="preserve"> </w:t>
      </w:r>
      <w:r w:rsidRPr="003C7F6D">
        <w:t>ago,</w:t>
      </w:r>
      <w:r w:rsidR="00922AE9">
        <w:rPr>
          <w:rStyle w:val="FootnoteReference"/>
        </w:rPr>
        <w:footnoteReference w:id="32"/>
      </w:r>
      <w:r w:rsidR="002514B0">
        <w:t xml:space="preserve"> </w:t>
      </w:r>
      <w:r w:rsidRPr="003C7F6D">
        <w:t>lends</w:t>
      </w:r>
      <w:r w:rsidR="002514B0">
        <w:t xml:space="preserve"> </w:t>
      </w:r>
      <w:r w:rsidRPr="003C7F6D">
        <w:t>credence</w:t>
      </w:r>
      <w:r w:rsidR="002514B0">
        <w:t xml:space="preserve"> </w:t>
      </w:r>
      <w:r w:rsidRPr="003C7F6D">
        <w:t>to</w:t>
      </w:r>
      <w:r w:rsidR="002514B0">
        <w:t xml:space="preserve"> </w:t>
      </w:r>
      <w:r w:rsidRPr="003C7F6D">
        <w:t>the</w:t>
      </w:r>
      <w:r w:rsidR="002514B0">
        <w:t xml:space="preserve"> </w:t>
      </w:r>
      <w:r w:rsidRPr="003C7F6D">
        <w:t>assumption</w:t>
      </w:r>
      <w:r w:rsidR="002514B0">
        <w:t xml:space="preserve"> </w:t>
      </w:r>
      <w:r w:rsidRPr="003C7F6D">
        <w:t>that</w:t>
      </w:r>
      <w:r w:rsidR="002514B0">
        <w:t xml:space="preserve"> </w:t>
      </w:r>
      <w:r w:rsidRPr="003C7F6D">
        <w:t>a</w:t>
      </w:r>
      <w:r w:rsidR="002514B0">
        <w:t xml:space="preserve"> </w:t>
      </w:r>
      <w:r w:rsidRPr="003C7F6D">
        <w:t>test</w:t>
      </w:r>
      <w:r w:rsidR="002514B0">
        <w:t xml:space="preserve"> </w:t>
      </w:r>
      <w:r w:rsidR="003063B1">
        <w:t xml:space="preserve">such as </w:t>
      </w:r>
      <w:r w:rsidRPr="003C7F6D">
        <w:t>this</w:t>
      </w:r>
      <w:r w:rsidR="002514B0">
        <w:t xml:space="preserve"> </w:t>
      </w:r>
      <w:r w:rsidRPr="003C7F6D">
        <w:t>can</w:t>
      </w:r>
      <w:r w:rsidR="002514B0">
        <w:t xml:space="preserve"> </w:t>
      </w:r>
      <w:r w:rsidRPr="003C7F6D">
        <w:t>be</w:t>
      </w:r>
      <w:r w:rsidR="002514B0">
        <w:t xml:space="preserve"> </w:t>
      </w:r>
      <w:r w:rsidR="00F3270C">
        <w:t>reliable for</w:t>
      </w:r>
      <w:r w:rsidR="002514B0">
        <w:t xml:space="preserve"> </w:t>
      </w:r>
      <w:r w:rsidRPr="003C7F6D">
        <w:t>many</w:t>
      </w:r>
      <w:r w:rsidR="002514B0">
        <w:t xml:space="preserve"> </w:t>
      </w:r>
      <w:r w:rsidRPr="003C7F6D">
        <w:t>years</w:t>
      </w:r>
      <w:r w:rsidR="002514B0">
        <w:t xml:space="preserve"> </w:t>
      </w:r>
      <w:r w:rsidRPr="003C7F6D">
        <w:t>into</w:t>
      </w:r>
      <w:r w:rsidR="002514B0">
        <w:t xml:space="preserve"> </w:t>
      </w:r>
      <w:r w:rsidRPr="003C7F6D">
        <w:t>the</w:t>
      </w:r>
      <w:r w:rsidR="002514B0">
        <w:t xml:space="preserve"> </w:t>
      </w:r>
      <w:r w:rsidRPr="003C7F6D">
        <w:t>future.</w:t>
      </w:r>
      <w:r w:rsidR="002514B0">
        <w:t xml:space="preserve"> </w:t>
      </w:r>
      <w:r>
        <w:t>BSI</w:t>
      </w:r>
      <w:r w:rsidR="002514B0">
        <w:t xml:space="preserve"> </w:t>
      </w:r>
      <w:r>
        <w:t>asserts</w:t>
      </w:r>
      <w:r w:rsidR="002514B0">
        <w:t xml:space="preserve"> </w:t>
      </w:r>
      <w:r>
        <w:t>that</w:t>
      </w:r>
      <w:r w:rsidR="002514B0">
        <w:t xml:space="preserve"> </w:t>
      </w:r>
      <w:r>
        <w:t>10</w:t>
      </w:r>
      <w:r w:rsidR="002514B0">
        <w:t xml:space="preserve"> </w:t>
      </w:r>
      <w:r>
        <w:t>years</w:t>
      </w:r>
      <w:r w:rsidR="002514B0">
        <w:t xml:space="preserve"> </w:t>
      </w:r>
      <w:r>
        <w:t>is</w:t>
      </w:r>
      <w:r w:rsidR="002514B0">
        <w:t xml:space="preserve"> </w:t>
      </w:r>
      <w:r>
        <w:t>non-responsive</w:t>
      </w:r>
      <w:r w:rsidR="002514B0">
        <w:t xml:space="preserve"> </w:t>
      </w:r>
      <w:r>
        <w:t>to</w:t>
      </w:r>
      <w:r w:rsidR="002514B0">
        <w:t xml:space="preserve"> </w:t>
      </w:r>
      <w:r>
        <w:t>the</w:t>
      </w:r>
      <w:r w:rsidR="002514B0">
        <w:t xml:space="preserve"> </w:t>
      </w:r>
      <w:r>
        <w:t>dynamic</w:t>
      </w:r>
      <w:r w:rsidR="002514B0">
        <w:t xml:space="preserve"> </w:t>
      </w:r>
      <w:r>
        <w:t>nature</w:t>
      </w:r>
      <w:r w:rsidR="002514B0">
        <w:t xml:space="preserve"> </w:t>
      </w:r>
      <w:r>
        <w:t>of</w:t>
      </w:r>
      <w:r w:rsidR="002514B0">
        <w:t xml:space="preserve"> </w:t>
      </w:r>
      <w:r>
        <w:t>what</w:t>
      </w:r>
      <w:r w:rsidR="002514B0">
        <w:t xml:space="preserve"> </w:t>
      </w:r>
      <w:r>
        <w:t>is</w:t>
      </w:r>
      <w:r w:rsidR="002514B0">
        <w:t xml:space="preserve"> </w:t>
      </w:r>
      <w:r>
        <w:t>going</w:t>
      </w:r>
      <w:r w:rsidR="002514B0">
        <w:t xml:space="preserve"> </w:t>
      </w:r>
      <w:r>
        <w:t>on</w:t>
      </w:r>
      <w:r w:rsidR="002514B0">
        <w:t xml:space="preserve"> </w:t>
      </w:r>
      <w:r>
        <w:t>in</w:t>
      </w:r>
      <w:r w:rsidR="002514B0">
        <w:t xml:space="preserve"> </w:t>
      </w:r>
      <w:r>
        <w:t>New</w:t>
      </w:r>
      <w:r w:rsidR="002514B0">
        <w:t xml:space="preserve"> </w:t>
      </w:r>
      <w:r>
        <w:t>Orleans.</w:t>
      </w:r>
      <w:r w:rsidR="00922AE9">
        <w:t xml:space="preserve"> </w:t>
      </w:r>
      <w:r w:rsidRPr="003C7F6D">
        <w:t>This</w:t>
      </w:r>
      <w:r w:rsidR="002514B0">
        <w:t xml:space="preserve"> </w:t>
      </w:r>
      <w:r w:rsidRPr="003C7F6D">
        <w:t>rate</w:t>
      </w:r>
      <w:r w:rsidR="002514B0">
        <w:t xml:space="preserve"> </w:t>
      </w:r>
      <w:r w:rsidRPr="003C7F6D">
        <w:t>case</w:t>
      </w:r>
      <w:r w:rsidR="002514B0">
        <w:t xml:space="preserve"> </w:t>
      </w:r>
      <w:r w:rsidRPr="003C7F6D">
        <w:t>is</w:t>
      </w:r>
      <w:r w:rsidR="002514B0">
        <w:t xml:space="preserve"> </w:t>
      </w:r>
      <w:r w:rsidRPr="003C7F6D">
        <w:t>significant.</w:t>
      </w:r>
      <w:r w:rsidR="002514B0">
        <w:t xml:space="preserve"> </w:t>
      </w:r>
    </w:p>
    <w:p w14:paraId="01C26EB7" w14:textId="5AFF803E" w:rsidR="00064848" w:rsidRPr="003C7F6D" w:rsidRDefault="00064848" w:rsidP="00064848">
      <w:pPr>
        <w:pStyle w:val="BodyText"/>
      </w:pPr>
      <w:r>
        <w:t>W</w:t>
      </w:r>
      <w:r w:rsidRPr="003C7F6D">
        <w:t>e</w:t>
      </w:r>
      <w:r w:rsidR="002514B0">
        <w:t xml:space="preserve"> </w:t>
      </w:r>
      <w:r w:rsidRPr="003C7F6D">
        <w:t>should</w:t>
      </w:r>
      <w:r w:rsidR="002514B0">
        <w:t xml:space="preserve"> </w:t>
      </w:r>
      <w:r w:rsidRPr="003C7F6D">
        <w:t>expect</w:t>
      </w:r>
      <w:r w:rsidR="002514B0">
        <w:t xml:space="preserve"> </w:t>
      </w:r>
      <w:r w:rsidRPr="003C7F6D">
        <w:t>a</w:t>
      </w:r>
      <w:r w:rsidR="002514B0">
        <w:t xml:space="preserve"> </w:t>
      </w:r>
      <w:r w:rsidRPr="003C7F6D">
        <w:t>hybrid</w:t>
      </w:r>
      <w:r w:rsidR="002514B0">
        <w:t xml:space="preserve"> </w:t>
      </w:r>
      <w:r w:rsidRPr="003C7F6D">
        <w:t>Residential</w:t>
      </w:r>
      <w:r w:rsidR="002514B0">
        <w:t xml:space="preserve"> </w:t>
      </w:r>
      <w:r w:rsidRPr="003C7F6D">
        <w:t>&amp;</w:t>
      </w:r>
      <w:r w:rsidR="002514B0">
        <w:t xml:space="preserve"> </w:t>
      </w:r>
      <w:r w:rsidRPr="003C7F6D">
        <w:t>CLEP</w:t>
      </w:r>
      <w:r w:rsidR="002514B0">
        <w:t xml:space="preserve"> </w:t>
      </w:r>
      <w:r w:rsidRPr="003C7F6D">
        <w:t>customer</w:t>
      </w:r>
      <w:r w:rsidR="002514B0">
        <w:t xml:space="preserve"> </w:t>
      </w:r>
      <w:r w:rsidRPr="003C7F6D">
        <w:t>class</w:t>
      </w:r>
      <w:r w:rsidR="002514B0">
        <w:t xml:space="preserve"> </w:t>
      </w:r>
      <w:r w:rsidRPr="003C7F6D">
        <w:t>will</w:t>
      </w:r>
      <w:r w:rsidR="002514B0">
        <w:t xml:space="preserve"> </w:t>
      </w:r>
      <w:r w:rsidRPr="003C7F6D">
        <w:t>have</w:t>
      </w:r>
      <w:r w:rsidR="002514B0">
        <w:t xml:space="preserve"> </w:t>
      </w:r>
      <w:r w:rsidRPr="003C7F6D">
        <w:t>a</w:t>
      </w:r>
      <w:r w:rsidR="002514B0">
        <w:t xml:space="preserve"> </w:t>
      </w:r>
      <w:r w:rsidRPr="003C7F6D">
        <w:t>very</w:t>
      </w:r>
      <w:r w:rsidR="002514B0">
        <w:t xml:space="preserve"> </w:t>
      </w:r>
      <w:r w:rsidRPr="003C7F6D">
        <w:t>different</w:t>
      </w:r>
      <w:r w:rsidR="002514B0">
        <w:t xml:space="preserve"> </w:t>
      </w:r>
      <w:r w:rsidRPr="003C7F6D">
        <w:t>peak</w:t>
      </w:r>
      <w:r w:rsidR="002514B0">
        <w:t xml:space="preserve"> </w:t>
      </w:r>
      <w:r w:rsidRPr="003C7F6D">
        <w:t>demand</w:t>
      </w:r>
      <w:r w:rsidR="002514B0">
        <w:t xml:space="preserve"> </w:t>
      </w:r>
      <w:r w:rsidRPr="003C7F6D">
        <w:t>profile</w:t>
      </w:r>
      <w:r w:rsidR="002514B0">
        <w:t xml:space="preserve"> </w:t>
      </w:r>
      <w:r w:rsidRPr="003C7F6D">
        <w:t>from</w:t>
      </w:r>
      <w:r w:rsidR="002514B0">
        <w:t xml:space="preserve"> </w:t>
      </w:r>
      <w:r w:rsidRPr="003C7F6D">
        <w:t>a</w:t>
      </w:r>
      <w:r w:rsidR="002514B0">
        <w:t xml:space="preserve"> </w:t>
      </w:r>
      <w:r w:rsidRPr="003C7F6D">
        <w:t>pure</w:t>
      </w:r>
      <w:r w:rsidR="002514B0">
        <w:t xml:space="preserve"> </w:t>
      </w:r>
      <w:r w:rsidRPr="003C7F6D">
        <w:t>Residential</w:t>
      </w:r>
      <w:r w:rsidR="002514B0">
        <w:t xml:space="preserve"> </w:t>
      </w:r>
      <w:r w:rsidRPr="003C7F6D">
        <w:t>customer</w:t>
      </w:r>
      <w:r w:rsidR="002514B0">
        <w:t xml:space="preserve"> </w:t>
      </w:r>
      <w:r w:rsidRPr="003C7F6D">
        <w:t>class</w:t>
      </w:r>
      <w:r w:rsidR="003063B1">
        <w:t>,</w:t>
      </w:r>
      <w:r w:rsidR="002514B0">
        <w:t xml:space="preserve"> </w:t>
      </w:r>
      <w:r w:rsidRPr="003C7F6D">
        <w:t>and</w:t>
      </w:r>
      <w:r w:rsidR="002514B0">
        <w:t xml:space="preserve"> </w:t>
      </w:r>
      <w:r w:rsidRPr="003C7F6D">
        <w:t>this</w:t>
      </w:r>
      <w:r w:rsidR="002514B0">
        <w:t xml:space="preserve"> </w:t>
      </w:r>
      <w:r w:rsidRPr="003C7F6D">
        <w:t>will</w:t>
      </w:r>
      <w:r w:rsidR="002514B0">
        <w:t xml:space="preserve"> </w:t>
      </w:r>
      <w:r w:rsidRPr="003C7F6D">
        <w:t>also</w:t>
      </w:r>
      <w:r w:rsidR="002514B0">
        <w:t xml:space="preserve"> </w:t>
      </w:r>
      <w:r w:rsidR="003063B1">
        <w:t>likely</w:t>
      </w:r>
      <w:r w:rsidR="002514B0">
        <w:t xml:space="preserve"> </w:t>
      </w:r>
      <w:r w:rsidRPr="003C7F6D">
        <w:t>play</w:t>
      </w:r>
      <w:r w:rsidR="002514B0">
        <w:t xml:space="preserve"> </w:t>
      </w:r>
      <w:r w:rsidRPr="003C7F6D">
        <w:t>out</w:t>
      </w:r>
      <w:r w:rsidR="002514B0">
        <w:t xml:space="preserve"> </w:t>
      </w:r>
      <w:r w:rsidRPr="003C7F6D">
        <w:t>among</w:t>
      </w:r>
      <w:r w:rsidR="002514B0">
        <w:t xml:space="preserve"> </w:t>
      </w:r>
      <w:r w:rsidRPr="003C7F6D">
        <w:t>all</w:t>
      </w:r>
      <w:r w:rsidR="002514B0">
        <w:t xml:space="preserve"> </w:t>
      </w:r>
      <w:r w:rsidRPr="003C7F6D">
        <w:t>pairs</w:t>
      </w:r>
      <w:r w:rsidR="002514B0">
        <w:t xml:space="preserve"> </w:t>
      </w:r>
      <w:r w:rsidRPr="003C7F6D">
        <w:t>of</w:t>
      </w:r>
      <w:r w:rsidR="002514B0">
        <w:t xml:space="preserve"> </w:t>
      </w:r>
      <w:r w:rsidRPr="003C7F6D">
        <w:t>hybrid</w:t>
      </w:r>
      <w:r w:rsidR="002514B0">
        <w:t xml:space="preserve"> </w:t>
      </w:r>
      <w:r w:rsidRPr="003C7F6D">
        <w:t>vs</w:t>
      </w:r>
      <w:r w:rsidR="002514B0">
        <w:t xml:space="preserve"> </w:t>
      </w:r>
      <w:r w:rsidRPr="003C7F6D">
        <w:t>non</w:t>
      </w:r>
      <w:r w:rsidR="002514B0">
        <w:t xml:space="preserve"> </w:t>
      </w:r>
      <w:r w:rsidRPr="003C7F6D">
        <w:t>hybrid</w:t>
      </w:r>
      <w:r w:rsidR="002514B0">
        <w:t xml:space="preserve"> </w:t>
      </w:r>
      <w:r w:rsidRPr="003C7F6D">
        <w:t>customer</w:t>
      </w:r>
      <w:r w:rsidR="002514B0">
        <w:t xml:space="preserve"> </w:t>
      </w:r>
      <w:r w:rsidRPr="003C7F6D">
        <w:t>classes.</w:t>
      </w:r>
      <w:r w:rsidR="002514B0">
        <w:t xml:space="preserve"> </w:t>
      </w:r>
    </w:p>
    <w:p w14:paraId="1B1E0BC5" w14:textId="537C43F4" w:rsidR="00064848" w:rsidRPr="003C7F6D" w:rsidRDefault="00064848" w:rsidP="00064848">
      <w:pPr>
        <w:pStyle w:val="BodyText"/>
      </w:pPr>
      <w:r w:rsidRPr="003C7F6D">
        <w:t>Rate</w:t>
      </w:r>
      <w:r w:rsidR="002514B0">
        <w:t xml:space="preserve"> </w:t>
      </w:r>
      <w:r w:rsidRPr="003C7F6D">
        <w:t>Cases</w:t>
      </w:r>
      <w:r w:rsidR="002514B0">
        <w:t xml:space="preserve"> </w:t>
      </w:r>
      <w:r w:rsidRPr="003C7F6D">
        <w:t>move</w:t>
      </w:r>
      <w:r w:rsidR="002514B0">
        <w:t xml:space="preserve"> </w:t>
      </w:r>
      <w:r w:rsidRPr="003C7F6D">
        <w:t>like</w:t>
      </w:r>
      <w:r w:rsidR="002514B0">
        <w:t xml:space="preserve"> </w:t>
      </w:r>
      <w:r w:rsidRPr="003C7F6D">
        <w:t>a</w:t>
      </w:r>
      <w:r w:rsidR="002514B0">
        <w:t xml:space="preserve"> </w:t>
      </w:r>
      <w:r w:rsidRPr="003C7F6D">
        <w:t>big</w:t>
      </w:r>
      <w:r w:rsidR="002514B0">
        <w:t xml:space="preserve"> </w:t>
      </w:r>
      <w:r w:rsidRPr="003C7F6D">
        <w:t>ship</w:t>
      </w:r>
      <w:r w:rsidR="002514B0">
        <w:t xml:space="preserve"> </w:t>
      </w:r>
      <w:r w:rsidRPr="003C7F6D">
        <w:t>in</w:t>
      </w:r>
      <w:r w:rsidR="002514B0">
        <w:t xml:space="preserve"> </w:t>
      </w:r>
      <w:r w:rsidRPr="003C7F6D">
        <w:t>the</w:t>
      </w:r>
      <w:r w:rsidR="002514B0">
        <w:t xml:space="preserve"> </w:t>
      </w:r>
      <w:r w:rsidRPr="003C7F6D">
        <w:t>water</w:t>
      </w:r>
      <w:r w:rsidR="002514B0">
        <w:t xml:space="preserve"> </w:t>
      </w:r>
      <w:r w:rsidRPr="003C7F6D">
        <w:t>with</w:t>
      </w:r>
      <w:r w:rsidR="002514B0">
        <w:t xml:space="preserve"> </w:t>
      </w:r>
      <w:r w:rsidRPr="003C7F6D">
        <w:t>minor</w:t>
      </w:r>
      <w:r w:rsidR="002514B0">
        <w:t xml:space="preserve"> </w:t>
      </w:r>
      <w:r w:rsidRPr="003C7F6D">
        <w:t>course</w:t>
      </w:r>
      <w:r w:rsidR="002514B0">
        <w:t xml:space="preserve"> </w:t>
      </w:r>
      <w:r w:rsidRPr="003C7F6D">
        <w:t>adjustments</w:t>
      </w:r>
      <w:r w:rsidR="00BC7E53">
        <w:t>; u</w:t>
      </w:r>
      <w:r w:rsidRPr="003C7F6D">
        <w:t>tilities</w:t>
      </w:r>
      <w:r w:rsidR="002514B0">
        <w:t xml:space="preserve"> </w:t>
      </w:r>
      <w:r w:rsidRPr="003C7F6D">
        <w:t>are</w:t>
      </w:r>
      <w:r w:rsidR="002514B0">
        <w:t xml:space="preserve"> </w:t>
      </w:r>
      <w:r w:rsidRPr="003C7F6D">
        <w:t>that</w:t>
      </w:r>
      <w:r w:rsidR="002514B0">
        <w:t xml:space="preserve"> </w:t>
      </w:r>
      <w:r w:rsidRPr="003C7F6D">
        <w:t>big</w:t>
      </w:r>
      <w:r w:rsidR="002514B0">
        <w:t xml:space="preserve"> </w:t>
      </w:r>
      <w:r w:rsidRPr="003C7F6D">
        <w:t>ship.</w:t>
      </w:r>
      <w:r w:rsidR="002514B0">
        <w:t xml:space="preserve"> </w:t>
      </w:r>
      <w:r w:rsidRPr="003C7F6D">
        <w:t>However,</w:t>
      </w:r>
      <w:r w:rsidR="002514B0">
        <w:t xml:space="preserve"> </w:t>
      </w:r>
      <w:r w:rsidRPr="003C7F6D">
        <w:t>technology</w:t>
      </w:r>
      <w:r w:rsidR="002514B0">
        <w:t xml:space="preserve"> </w:t>
      </w:r>
      <w:r w:rsidRPr="003C7F6D">
        <w:t>for</w:t>
      </w:r>
      <w:r w:rsidR="002514B0">
        <w:t xml:space="preserve"> </w:t>
      </w:r>
      <w:r w:rsidRPr="003C7F6D">
        <w:t>metering,</w:t>
      </w:r>
      <w:r w:rsidR="002514B0">
        <w:t xml:space="preserve"> </w:t>
      </w:r>
      <w:r w:rsidRPr="003C7F6D">
        <w:t>measuring,</w:t>
      </w:r>
      <w:r w:rsidR="002514B0">
        <w:t xml:space="preserve"> </w:t>
      </w:r>
      <w:r w:rsidRPr="003C7F6D">
        <w:t>controlling,</w:t>
      </w:r>
      <w:r w:rsidR="002514B0">
        <w:t xml:space="preserve"> </w:t>
      </w:r>
      <w:r w:rsidRPr="003C7F6D">
        <w:t>producing,</w:t>
      </w:r>
      <w:r w:rsidR="002514B0">
        <w:t xml:space="preserve"> </w:t>
      </w:r>
      <w:r w:rsidRPr="003C7F6D">
        <w:t>and</w:t>
      </w:r>
      <w:r w:rsidR="002514B0">
        <w:t xml:space="preserve"> </w:t>
      </w:r>
      <w:r w:rsidRPr="003C7F6D">
        <w:t>storing</w:t>
      </w:r>
      <w:r w:rsidR="002514B0">
        <w:t xml:space="preserve"> </w:t>
      </w:r>
      <w:r w:rsidRPr="003C7F6D">
        <w:t>has</w:t>
      </w:r>
      <w:r w:rsidR="002514B0">
        <w:t xml:space="preserve"> </w:t>
      </w:r>
      <w:r w:rsidRPr="003C7F6D">
        <w:t>advanced</w:t>
      </w:r>
      <w:r w:rsidR="002514B0">
        <w:t xml:space="preserve"> </w:t>
      </w:r>
      <w:r w:rsidRPr="003C7F6D">
        <w:t>collectively</w:t>
      </w:r>
      <w:r w:rsidR="002514B0">
        <w:t xml:space="preserve"> </w:t>
      </w:r>
      <w:r w:rsidRPr="003C7F6D">
        <w:t>to</w:t>
      </w:r>
      <w:r w:rsidR="002514B0">
        <w:t xml:space="preserve"> </w:t>
      </w:r>
      <w:r w:rsidRPr="003C7F6D">
        <w:t>the</w:t>
      </w:r>
      <w:r w:rsidR="002514B0">
        <w:t xml:space="preserve"> </w:t>
      </w:r>
      <w:r w:rsidRPr="003C7F6D">
        <w:t>point</w:t>
      </w:r>
      <w:r w:rsidR="002514B0">
        <w:t xml:space="preserve"> </w:t>
      </w:r>
      <w:r w:rsidRPr="003C7F6D">
        <w:t>that</w:t>
      </w:r>
      <w:r w:rsidR="002514B0">
        <w:t xml:space="preserve"> </w:t>
      </w:r>
      <w:r>
        <w:t>the</w:t>
      </w:r>
      <w:r w:rsidR="002514B0">
        <w:t xml:space="preserve"> </w:t>
      </w:r>
      <w:r>
        <w:t>marketplace</w:t>
      </w:r>
      <w:r w:rsidR="002514B0">
        <w:t xml:space="preserve"> </w:t>
      </w:r>
      <w:r>
        <w:t>has</w:t>
      </w:r>
      <w:r w:rsidR="002514B0">
        <w:t xml:space="preserve"> </w:t>
      </w:r>
      <w:r>
        <w:t>solutions</w:t>
      </w:r>
      <w:r w:rsidR="002514B0">
        <w:t xml:space="preserve"> </w:t>
      </w:r>
      <w:r>
        <w:t>ready</w:t>
      </w:r>
      <w:r w:rsidR="002514B0">
        <w:t xml:space="preserve"> </w:t>
      </w:r>
      <w:r>
        <w:t>to</w:t>
      </w:r>
      <w:r w:rsidR="002514B0">
        <w:t xml:space="preserve"> </w:t>
      </w:r>
      <w:r>
        <w:t>be</w:t>
      </w:r>
      <w:r w:rsidR="002514B0">
        <w:t xml:space="preserve"> </w:t>
      </w:r>
      <w:r>
        <w:t>implemented</w:t>
      </w:r>
      <w:r w:rsidR="002514B0">
        <w:t xml:space="preserve"> </w:t>
      </w:r>
      <w:r>
        <w:t>by</w:t>
      </w:r>
      <w:r w:rsidR="002514B0">
        <w:t xml:space="preserve"> </w:t>
      </w:r>
      <w:r>
        <w:t>a</w:t>
      </w:r>
      <w:r w:rsidR="002514B0">
        <w:t xml:space="preserve"> </w:t>
      </w:r>
      <w:r>
        <w:t>Utility</w:t>
      </w:r>
      <w:r w:rsidR="002514B0">
        <w:t xml:space="preserve"> </w:t>
      </w:r>
      <w:r>
        <w:t>willing</w:t>
      </w:r>
      <w:r w:rsidR="002514B0">
        <w:t xml:space="preserve"> </w:t>
      </w:r>
      <w:r>
        <w:lastRenderedPageBreak/>
        <w:t>to</w:t>
      </w:r>
      <w:r w:rsidR="002514B0">
        <w:t xml:space="preserve"> </w:t>
      </w:r>
      <w:r>
        <w:t>adopt</w:t>
      </w:r>
      <w:r w:rsidR="002514B0">
        <w:t xml:space="preserve"> </w:t>
      </w:r>
      <w:r>
        <w:t>progressive</w:t>
      </w:r>
      <w:r w:rsidR="002514B0">
        <w:t xml:space="preserve"> </w:t>
      </w:r>
      <w:r>
        <w:t>policies.</w:t>
      </w:r>
      <w:r w:rsidR="002514B0">
        <w:t xml:space="preserve"> </w:t>
      </w:r>
      <w:r>
        <w:t>T</w:t>
      </w:r>
      <w:r w:rsidRPr="003C7F6D">
        <w:t>he</w:t>
      </w:r>
      <w:r w:rsidR="002514B0">
        <w:t xml:space="preserve"> </w:t>
      </w:r>
      <w:r w:rsidRPr="003C7F6D">
        <w:t>Council</w:t>
      </w:r>
      <w:r w:rsidR="002514B0">
        <w:t xml:space="preserve"> </w:t>
      </w:r>
      <w:r w:rsidRPr="003C7F6D">
        <w:t>is</w:t>
      </w:r>
      <w:r w:rsidR="002514B0">
        <w:t xml:space="preserve"> </w:t>
      </w:r>
      <w:r w:rsidRPr="003C7F6D">
        <w:t>encouraged</w:t>
      </w:r>
      <w:r w:rsidR="002514B0">
        <w:t xml:space="preserve"> </w:t>
      </w:r>
      <w:r w:rsidRPr="003C7F6D">
        <w:t>to</w:t>
      </w:r>
      <w:r w:rsidR="002514B0">
        <w:t xml:space="preserve"> </w:t>
      </w:r>
      <w:r w:rsidRPr="003C7F6D">
        <w:t>take</w:t>
      </w:r>
      <w:r w:rsidR="002514B0">
        <w:t xml:space="preserve"> </w:t>
      </w:r>
      <w:r w:rsidRPr="003C7F6D">
        <w:t>the</w:t>
      </w:r>
      <w:r w:rsidR="002514B0">
        <w:t xml:space="preserve"> </w:t>
      </w:r>
      <w:r w:rsidRPr="003C7F6D">
        <w:t>progressive</w:t>
      </w:r>
      <w:r w:rsidR="002514B0">
        <w:t xml:space="preserve"> </w:t>
      </w:r>
      <w:r w:rsidRPr="003C7F6D">
        <w:t>step</w:t>
      </w:r>
      <w:r w:rsidR="002514B0">
        <w:t xml:space="preserve"> </w:t>
      </w:r>
      <w:r w:rsidRPr="003C7F6D">
        <w:t>of</w:t>
      </w:r>
      <w:r w:rsidR="002514B0">
        <w:t xml:space="preserve"> </w:t>
      </w:r>
      <w:r w:rsidRPr="003C7F6D">
        <w:t>requiring</w:t>
      </w:r>
      <w:r w:rsidR="002514B0">
        <w:t xml:space="preserve"> </w:t>
      </w:r>
      <w:r w:rsidRPr="003C7F6D">
        <w:t>the</w:t>
      </w:r>
      <w:r w:rsidR="002514B0">
        <w:t xml:space="preserve"> </w:t>
      </w:r>
      <w:r w:rsidRPr="003C7F6D">
        <w:t>monopoly</w:t>
      </w:r>
      <w:r w:rsidR="002514B0">
        <w:t xml:space="preserve"> </w:t>
      </w:r>
      <w:r w:rsidRPr="003C7F6D">
        <w:t>utility</w:t>
      </w:r>
      <w:r w:rsidR="002514B0">
        <w:t xml:space="preserve"> </w:t>
      </w:r>
      <w:r w:rsidRPr="003C7F6D">
        <w:t>that</w:t>
      </w:r>
      <w:r w:rsidR="002514B0">
        <w:t xml:space="preserve"> </w:t>
      </w:r>
      <w:r w:rsidRPr="003C7F6D">
        <w:t>serves</w:t>
      </w:r>
      <w:r w:rsidR="002514B0">
        <w:t xml:space="preserve"> </w:t>
      </w:r>
      <w:r w:rsidRPr="003C7F6D">
        <w:t>the</w:t>
      </w:r>
      <w:r w:rsidR="002514B0">
        <w:t xml:space="preserve"> </w:t>
      </w:r>
      <w:r w:rsidRPr="003C7F6D">
        <w:t>citizens</w:t>
      </w:r>
      <w:r w:rsidR="002514B0">
        <w:t xml:space="preserve"> </w:t>
      </w:r>
      <w:r w:rsidRPr="003C7F6D">
        <w:t>of</w:t>
      </w:r>
      <w:r w:rsidR="002514B0">
        <w:t xml:space="preserve"> </w:t>
      </w:r>
      <w:r w:rsidRPr="003C7F6D">
        <w:t>NO</w:t>
      </w:r>
      <w:r w:rsidR="002514B0">
        <w:t xml:space="preserve"> </w:t>
      </w:r>
      <w:r w:rsidRPr="003C7F6D">
        <w:t>to</w:t>
      </w:r>
      <w:r w:rsidR="002514B0">
        <w:t xml:space="preserve"> </w:t>
      </w:r>
      <w:r w:rsidRPr="003C7F6D">
        <w:t>embrace</w:t>
      </w:r>
      <w:r w:rsidR="002514B0">
        <w:t xml:space="preserve"> </w:t>
      </w:r>
      <w:r w:rsidRPr="003C7F6D">
        <w:t>technology</w:t>
      </w:r>
      <w:r w:rsidR="003063B1">
        <w:t>,</w:t>
      </w:r>
      <w:r w:rsidR="002514B0">
        <w:t xml:space="preserve"> </w:t>
      </w:r>
      <w:r w:rsidRPr="003C7F6D">
        <w:t>and</w:t>
      </w:r>
      <w:r w:rsidR="002514B0">
        <w:t xml:space="preserve"> </w:t>
      </w:r>
      <w:r w:rsidRPr="003C7F6D">
        <w:t>make</w:t>
      </w:r>
      <w:r w:rsidR="002514B0">
        <w:t xml:space="preserve"> </w:t>
      </w:r>
      <w:r w:rsidRPr="003C7F6D">
        <w:t>it</w:t>
      </w:r>
      <w:r w:rsidR="002514B0">
        <w:t xml:space="preserve"> </w:t>
      </w:r>
      <w:r w:rsidRPr="003C7F6D">
        <w:t>a</w:t>
      </w:r>
      <w:r w:rsidR="002514B0">
        <w:t xml:space="preserve"> </w:t>
      </w:r>
      <w:r w:rsidRPr="003C7F6D">
        <w:t>more</w:t>
      </w:r>
      <w:r w:rsidR="002514B0">
        <w:t xml:space="preserve"> </w:t>
      </w:r>
      <w:r w:rsidRPr="003C7F6D">
        <w:t>responsive</w:t>
      </w:r>
      <w:r w:rsidR="002514B0">
        <w:t xml:space="preserve"> </w:t>
      </w:r>
      <w:r w:rsidRPr="003C7F6D">
        <w:t>and</w:t>
      </w:r>
      <w:r w:rsidR="002514B0">
        <w:t xml:space="preserve"> </w:t>
      </w:r>
      <w:r w:rsidRPr="003C7F6D">
        <w:t>dynamic</w:t>
      </w:r>
      <w:r w:rsidR="002514B0">
        <w:t xml:space="preserve"> </w:t>
      </w:r>
      <w:r w:rsidRPr="003C7F6D">
        <w:t>servant</w:t>
      </w:r>
      <w:r w:rsidR="002514B0">
        <w:t xml:space="preserve"> </w:t>
      </w:r>
      <w:r w:rsidRPr="003C7F6D">
        <w:t>of</w:t>
      </w:r>
      <w:r w:rsidR="002514B0">
        <w:t xml:space="preserve"> </w:t>
      </w:r>
      <w:r w:rsidRPr="003C7F6D">
        <w:t>the</w:t>
      </w:r>
      <w:r w:rsidR="002514B0">
        <w:t xml:space="preserve"> </w:t>
      </w:r>
      <w:r w:rsidRPr="003C7F6D">
        <w:t>community</w:t>
      </w:r>
      <w:r w:rsidR="00EE5685">
        <w:t>.</w:t>
      </w:r>
    </w:p>
    <w:p w14:paraId="6AB63B44" w14:textId="6147DCC0" w:rsidR="00064848" w:rsidRPr="003C7F6D" w:rsidRDefault="00064848" w:rsidP="00064848">
      <w:pPr>
        <w:pStyle w:val="Heading2"/>
      </w:pPr>
      <w:bookmarkStart w:id="73" w:name="_Toc16254899"/>
      <w:bookmarkStart w:id="74" w:name="_Toc16165408"/>
      <w:bookmarkStart w:id="75" w:name="_Toc16175740"/>
      <w:bookmarkStart w:id="76" w:name="_Toc16317735"/>
      <w:r w:rsidRPr="003C7F6D">
        <w:t>Skewed</w:t>
      </w:r>
      <w:r w:rsidR="002514B0">
        <w:t xml:space="preserve"> </w:t>
      </w:r>
      <w:r w:rsidRPr="003C7F6D">
        <w:t>Assignment</w:t>
      </w:r>
      <w:r w:rsidR="002514B0">
        <w:t xml:space="preserve"> </w:t>
      </w:r>
      <w:r w:rsidRPr="003C7F6D">
        <w:t>of</w:t>
      </w:r>
      <w:r w:rsidR="002514B0">
        <w:t xml:space="preserve"> </w:t>
      </w:r>
      <w:r w:rsidRPr="003C7F6D">
        <w:t>Costs</w:t>
      </w:r>
      <w:r w:rsidR="002514B0">
        <w:t xml:space="preserve"> </w:t>
      </w:r>
      <w:r w:rsidRPr="003C7F6D">
        <w:t>(SAC</w:t>
      </w:r>
      <w:bookmarkEnd w:id="73"/>
      <w:r w:rsidRPr="003C7F6D">
        <w:t>)</w:t>
      </w:r>
      <w:bookmarkEnd w:id="74"/>
      <w:bookmarkEnd w:id="75"/>
      <w:bookmarkEnd w:id="76"/>
      <w:r w:rsidR="002514B0">
        <w:t xml:space="preserve"> </w:t>
      </w:r>
    </w:p>
    <w:p w14:paraId="6C0C811C" w14:textId="431184A3" w:rsidR="00064848" w:rsidRPr="003C7F6D" w:rsidRDefault="00064848" w:rsidP="00064848">
      <w:pPr>
        <w:pStyle w:val="BodyText"/>
      </w:pPr>
      <w:r w:rsidRPr="003C7F6D">
        <w:t>Two</w:t>
      </w:r>
      <w:r w:rsidR="002514B0">
        <w:t xml:space="preserve"> </w:t>
      </w:r>
      <w:r w:rsidRPr="003C7F6D">
        <w:t>intervenors</w:t>
      </w:r>
      <w:r w:rsidR="002514B0">
        <w:t xml:space="preserve"> </w:t>
      </w:r>
      <w:r w:rsidRPr="003C7F6D">
        <w:t>in</w:t>
      </w:r>
      <w:r w:rsidR="002514B0">
        <w:t xml:space="preserve"> </w:t>
      </w:r>
      <w:r w:rsidRPr="003C7F6D">
        <w:t>this</w:t>
      </w:r>
      <w:r w:rsidR="002514B0">
        <w:t xml:space="preserve"> </w:t>
      </w:r>
      <w:r w:rsidRPr="003C7F6D">
        <w:t>rate</w:t>
      </w:r>
      <w:r w:rsidR="002514B0">
        <w:t xml:space="preserve"> </w:t>
      </w:r>
      <w:r w:rsidRPr="003C7F6D">
        <w:t>case</w:t>
      </w:r>
      <w:r w:rsidR="002514B0">
        <w:t xml:space="preserve"> </w:t>
      </w:r>
      <w:r w:rsidRPr="003C7F6D">
        <w:t>assert</w:t>
      </w:r>
      <w:r w:rsidR="002514B0">
        <w:t xml:space="preserve"> </w:t>
      </w:r>
      <w:r w:rsidRPr="003C7F6D">
        <w:t>that</w:t>
      </w:r>
      <w:r w:rsidR="002514B0">
        <w:t xml:space="preserve"> </w:t>
      </w:r>
      <w:r w:rsidRPr="003C7F6D">
        <w:t>they</w:t>
      </w:r>
      <w:r w:rsidR="002514B0">
        <w:t xml:space="preserve"> </w:t>
      </w:r>
      <w:r w:rsidRPr="003C7F6D">
        <w:t>have</w:t>
      </w:r>
      <w:r w:rsidR="002514B0">
        <w:t xml:space="preserve"> </w:t>
      </w:r>
      <w:r w:rsidRPr="003C7F6D">
        <w:t>been</w:t>
      </w:r>
      <w:r w:rsidR="002514B0">
        <w:t xml:space="preserve"> </w:t>
      </w:r>
      <w:r w:rsidRPr="003C7F6D">
        <w:t>unfairly</w:t>
      </w:r>
      <w:r w:rsidR="002514B0">
        <w:t xml:space="preserve"> </w:t>
      </w:r>
      <w:r w:rsidRPr="003C7F6D">
        <w:t>assigned</w:t>
      </w:r>
      <w:r w:rsidR="002514B0">
        <w:t xml:space="preserve"> </w:t>
      </w:r>
      <w:r w:rsidRPr="003C7F6D">
        <w:t>tens</w:t>
      </w:r>
      <w:r w:rsidR="002514B0">
        <w:t xml:space="preserve"> </w:t>
      </w:r>
      <w:r w:rsidRPr="003C7F6D">
        <w:t>of</w:t>
      </w:r>
      <w:r w:rsidR="002514B0">
        <w:t xml:space="preserve"> </w:t>
      </w:r>
      <w:r w:rsidRPr="003C7F6D">
        <w:t>millions</w:t>
      </w:r>
      <w:r w:rsidR="002514B0">
        <w:t xml:space="preserve"> </w:t>
      </w:r>
      <w:r w:rsidRPr="003C7F6D">
        <w:t>of</w:t>
      </w:r>
      <w:r w:rsidR="002514B0">
        <w:t xml:space="preserve"> </w:t>
      </w:r>
      <w:r w:rsidRPr="003C7F6D">
        <w:t>dollars</w:t>
      </w:r>
      <w:r w:rsidR="002514B0">
        <w:t xml:space="preserve"> </w:t>
      </w:r>
      <w:r w:rsidRPr="003C7F6D">
        <w:t>in</w:t>
      </w:r>
      <w:r w:rsidR="002514B0">
        <w:t xml:space="preserve"> </w:t>
      </w:r>
      <w:r w:rsidRPr="003C7F6D">
        <w:t>costs</w:t>
      </w:r>
      <w:r w:rsidR="002514B0">
        <w:t xml:space="preserve"> </w:t>
      </w:r>
      <w:r w:rsidRPr="003C7F6D">
        <w:t>to</w:t>
      </w:r>
      <w:r w:rsidR="002514B0">
        <w:t xml:space="preserve"> </w:t>
      </w:r>
      <w:r w:rsidRPr="003C7F6D">
        <w:t>subsidize</w:t>
      </w:r>
      <w:r w:rsidR="002514B0">
        <w:t xml:space="preserve"> </w:t>
      </w:r>
      <w:r w:rsidRPr="003C7F6D">
        <w:t>and</w:t>
      </w:r>
      <w:r w:rsidR="002514B0">
        <w:t xml:space="preserve"> </w:t>
      </w:r>
      <w:r w:rsidRPr="003C7F6D">
        <w:t>lower</w:t>
      </w:r>
      <w:r w:rsidR="002514B0">
        <w:t xml:space="preserve"> </w:t>
      </w:r>
      <w:r w:rsidRPr="003C7F6D">
        <w:t>the</w:t>
      </w:r>
      <w:r w:rsidR="002514B0">
        <w:t xml:space="preserve"> </w:t>
      </w:r>
      <w:r w:rsidRPr="003C7F6D">
        <w:t>cost-of-service</w:t>
      </w:r>
      <w:r w:rsidR="002514B0">
        <w:t xml:space="preserve"> </w:t>
      </w:r>
      <w:r w:rsidRPr="003C7F6D">
        <w:t>for</w:t>
      </w:r>
      <w:r w:rsidR="002514B0">
        <w:t xml:space="preserve"> </w:t>
      </w:r>
      <w:r w:rsidRPr="003C7F6D">
        <w:t>residential</w:t>
      </w:r>
      <w:r w:rsidR="002514B0">
        <w:t xml:space="preserve"> </w:t>
      </w:r>
      <w:r w:rsidRPr="003C7F6D">
        <w:t>customers.</w:t>
      </w:r>
      <w:r w:rsidR="00922AE9" w:rsidRPr="00F344DD">
        <w:rPr>
          <w:rStyle w:val="FootnoteReference"/>
        </w:rPr>
        <w:footnoteReference w:id="33"/>
      </w:r>
      <w:r w:rsidR="00922AE9" w:rsidRPr="00F344DD">
        <w:rPr>
          <w:vertAlign w:val="superscript"/>
        </w:rPr>
        <w:t xml:space="preserve">, </w:t>
      </w:r>
      <w:r w:rsidR="00F344DD" w:rsidRPr="00F344DD">
        <w:rPr>
          <w:rStyle w:val="FootnoteReference"/>
        </w:rPr>
        <w:footnoteReference w:id="34"/>
      </w:r>
      <w:r w:rsidR="002514B0" w:rsidRPr="00F344DD">
        <w:rPr>
          <w:vertAlign w:val="superscript"/>
        </w:rPr>
        <w:t xml:space="preserve"> </w:t>
      </w:r>
      <w:r w:rsidR="00C81E0D">
        <w:rPr>
          <w:vertAlign w:val="superscript"/>
        </w:rPr>
        <w:t xml:space="preserve">, </w:t>
      </w:r>
      <w:r w:rsidR="00C81E0D">
        <w:rPr>
          <w:rStyle w:val="FootnoteReference"/>
        </w:rPr>
        <w:footnoteReference w:id="35"/>
      </w:r>
    </w:p>
    <w:p w14:paraId="36C1EE1B" w14:textId="30DEC722" w:rsidR="00064848" w:rsidRPr="003C7F6D" w:rsidRDefault="00064848" w:rsidP="00064848">
      <w:pPr>
        <w:pStyle w:val="BodyText"/>
      </w:pPr>
      <w:r w:rsidRPr="003C7F6D">
        <w:t>$45</w:t>
      </w:r>
      <w:r w:rsidR="002514B0">
        <w:t xml:space="preserve"> </w:t>
      </w:r>
      <w:r w:rsidRPr="003C7F6D">
        <w:t>million</w:t>
      </w:r>
      <w:r w:rsidR="002514B0">
        <w:t xml:space="preserve"> </w:t>
      </w:r>
      <w:r w:rsidRPr="003C7F6D">
        <w:t>in</w:t>
      </w:r>
      <w:r w:rsidR="002514B0">
        <w:t xml:space="preserve"> </w:t>
      </w:r>
      <w:r w:rsidRPr="003C7F6D">
        <w:t>2009</w:t>
      </w:r>
      <w:r w:rsidR="00F344DD">
        <w:rPr>
          <w:rStyle w:val="FootnoteReference"/>
        </w:rPr>
        <w:footnoteReference w:id="36"/>
      </w:r>
      <w:r w:rsidR="002514B0">
        <w:t xml:space="preserve"> </w:t>
      </w:r>
      <w:r w:rsidRPr="003C7F6D">
        <w:t>and</w:t>
      </w:r>
      <w:r w:rsidR="002514B0">
        <w:t xml:space="preserve"> </w:t>
      </w:r>
      <w:r w:rsidRPr="003C7F6D">
        <w:t>proposed</w:t>
      </w:r>
      <w:r w:rsidR="002514B0">
        <w:t xml:space="preserve"> </w:t>
      </w:r>
      <w:r w:rsidRPr="003C7F6D">
        <w:t>to</w:t>
      </w:r>
      <w:r w:rsidR="002514B0">
        <w:t xml:space="preserve"> </w:t>
      </w:r>
      <w:r w:rsidRPr="003C7F6D">
        <w:t>be</w:t>
      </w:r>
      <w:r w:rsidR="002514B0">
        <w:t xml:space="preserve"> </w:t>
      </w:r>
      <w:r w:rsidRPr="003C7F6D">
        <w:t>roughly</w:t>
      </w:r>
      <w:r w:rsidR="002514B0">
        <w:t xml:space="preserve"> </w:t>
      </w:r>
      <w:r w:rsidRPr="003C7F6D">
        <w:t>$35</w:t>
      </w:r>
      <w:r w:rsidR="002514B0">
        <w:t xml:space="preserve"> </w:t>
      </w:r>
      <w:r w:rsidRPr="003C7F6D">
        <w:t>million</w:t>
      </w:r>
      <w:r w:rsidR="002514B0">
        <w:t xml:space="preserve"> </w:t>
      </w:r>
      <w:r w:rsidRPr="003C7F6D">
        <w:t>in</w:t>
      </w:r>
      <w:r w:rsidR="002514B0">
        <w:t xml:space="preserve"> </w:t>
      </w:r>
      <w:r w:rsidRPr="003C7F6D">
        <w:t>2019.</w:t>
      </w:r>
      <w:r w:rsidR="00F344DD">
        <w:rPr>
          <w:rStyle w:val="FootnoteReference"/>
        </w:rPr>
        <w:footnoteReference w:id="37"/>
      </w:r>
    </w:p>
    <w:p w14:paraId="48D8610B" w14:textId="6AD65657" w:rsidR="00064848" w:rsidRPr="003C7F6D" w:rsidRDefault="00064848" w:rsidP="00064848">
      <w:pPr>
        <w:pStyle w:val="BodyText"/>
      </w:pPr>
      <w:r w:rsidRPr="003C7F6D">
        <w:t>This</w:t>
      </w:r>
      <w:r w:rsidR="002514B0">
        <w:t xml:space="preserve"> </w:t>
      </w:r>
      <w:r w:rsidRPr="003C7F6D">
        <w:t>violates</w:t>
      </w:r>
      <w:r w:rsidR="002514B0">
        <w:t xml:space="preserve"> </w:t>
      </w:r>
      <w:r w:rsidRPr="003C7F6D">
        <w:t>FERC’s</w:t>
      </w:r>
      <w:r w:rsidR="002514B0">
        <w:t xml:space="preserve"> </w:t>
      </w:r>
      <w:r w:rsidRPr="003C7F6D">
        <w:t>cost-causation</w:t>
      </w:r>
      <w:r w:rsidR="002514B0">
        <w:t xml:space="preserve"> </w:t>
      </w:r>
      <w:r w:rsidRPr="003C7F6D">
        <w:t>ruling.</w:t>
      </w:r>
      <w:r w:rsidR="00F344DD">
        <w:rPr>
          <w:rStyle w:val="FootnoteReference"/>
        </w:rPr>
        <w:footnoteReference w:id="38"/>
      </w:r>
    </w:p>
    <w:p w14:paraId="300FB7AB" w14:textId="6FFFB007" w:rsidR="00064848" w:rsidRPr="000C204F" w:rsidRDefault="00064848" w:rsidP="00064848">
      <w:pPr>
        <w:pStyle w:val="Heading2"/>
      </w:pPr>
      <w:bookmarkStart w:id="77" w:name="_Toc16165409"/>
      <w:bookmarkStart w:id="78" w:name="_Toc16175741"/>
      <w:bookmarkStart w:id="79" w:name="_Toc16317736"/>
      <w:bookmarkStart w:id="80" w:name="_Toc16254900"/>
      <w:r w:rsidRPr="005B23DF">
        <w:t>BSI</w:t>
      </w:r>
      <w:r w:rsidR="002514B0">
        <w:t xml:space="preserve"> </w:t>
      </w:r>
      <w:r w:rsidRPr="005B23DF">
        <w:t>proposes</w:t>
      </w:r>
      <w:r w:rsidR="002514B0">
        <w:t xml:space="preserve"> </w:t>
      </w:r>
      <w:r w:rsidRPr="005B23DF">
        <w:t>phasing</w:t>
      </w:r>
      <w:r w:rsidR="002514B0">
        <w:t xml:space="preserve"> </w:t>
      </w:r>
      <w:r w:rsidRPr="005B23DF">
        <w:t>out</w:t>
      </w:r>
      <w:r w:rsidR="002514B0">
        <w:t xml:space="preserve"> </w:t>
      </w:r>
      <w:r w:rsidRPr="005B23DF">
        <w:t>SAC</w:t>
      </w:r>
      <w:r w:rsidR="002514B0">
        <w:t xml:space="preserve"> </w:t>
      </w:r>
      <w:r w:rsidRPr="005B23DF">
        <w:t>over</w:t>
      </w:r>
      <w:r w:rsidR="002514B0">
        <w:t xml:space="preserve"> </w:t>
      </w:r>
      <w:r w:rsidRPr="005B23DF">
        <w:t>10</w:t>
      </w:r>
      <w:r w:rsidR="002514B0">
        <w:t xml:space="preserve"> </w:t>
      </w:r>
      <w:r w:rsidRPr="005B23DF">
        <w:t>years</w:t>
      </w:r>
      <w:r w:rsidR="002514B0">
        <w:t xml:space="preserve"> </w:t>
      </w:r>
      <w:r w:rsidRPr="005B23DF">
        <w:t>to</w:t>
      </w:r>
      <w:r w:rsidR="002514B0">
        <w:t xml:space="preserve"> </w:t>
      </w:r>
      <w:r w:rsidRPr="005B23DF">
        <w:t>avoid</w:t>
      </w:r>
      <w:r w:rsidR="002514B0">
        <w:t xml:space="preserve"> </w:t>
      </w:r>
      <w:r w:rsidRPr="005B23DF">
        <w:t>rate</w:t>
      </w:r>
      <w:r w:rsidR="002514B0">
        <w:t xml:space="preserve"> </w:t>
      </w:r>
      <w:r w:rsidRPr="005B23DF">
        <w:t>shock.</w:t>
      </w:r>
      <w:bookmarkEnd w:id="77"/>
      <w:bookmarkEnd w:id="78"/>
      <w:bookmarkEnd w:id="79"/>
      <w:bookmarkEnd w:id="80"/>
    </w:p>
    <w:p w14:paraId="6605D856" w14:textId="4C53FB6E" w:rsidR="00064848" w:rsidRDefault="00064848" w:rsidP="00064848">
      <w:pPr>
        <w:pStyle w:val="BodyText"/>
        <w:rPr>
          <w:rStyle w:val="BodyTextChar"/>
        </w:rPr>
      </w:pPr>
      <w:r w:rsidRPr="003C7F6D">
        <w:t>BSI’s</w:t>
      </w:r>
      <w:r w:rsidR="002514B0">
        <w:t xml:space="preserve"> </w:t>
      </w:r>
      <w:r w:rsidRPr="003C7F6D">
        <w:t>initial</w:t>
      </w:r>
      <w:r w:rsidR="002514B0">
        <w:t xml:space="preserve"> </w:t>
      </w:r>
      <w:r w:rsidRPr="003C7F6D">
        <w:t>Post</w:t>
      </w:r>
      <w:r w:rsidR="002514B0">
        <w:t xml:space="preserve"> </w:t>
      </w:r>
      <w:r w:rsidRPr="003C7F6D">
        <w:t>Hearing</w:t>
      </w:r>
      <w:r w:rsidR="002514B0">
        <w:t xml:space="preserve"> </w:t>
      </w:r>
      <w:r w:rsidRPr="003C7F6D">
        <w:t>Brief</w:t>
      </w:r>
      <w:r w:rsidR="002514B0">
        <w:t xml:space="preserve"> </w:t>
      </w:r>
      <w:r w:rsidRPr="003C7F6D">
        <w:t>proposed</w:t>
      </w:r>
      <w:r w:rsidR="002514B0">
        <w:t xml:space="preserve"> </w:t>
      </w:r>
      <w:r w:rsidRPr="003C7F6D">
        <w:rPr>
          <w:rStyle w:val="BodyTextChar"/>
        </w:rPr>
        <w:t>elimination</w:t>
      </w:r>
      <w:r w:rsidR="002514B0">
        <w:rPr>
          <w:rStyle w:val="BodyTextChar"/>
        </w:rPr>
        <w:t xml:space="preserve"> </w:t>
      </w:r>
      <w:r w:rsidRPr="003C7F6D">
        <w:rPr>
          <w:rStyle w:val="BodyTextChar"/>
        </w:rPr>
        <w:t>of</w:t>
      </w:r>
      <w:r w:rsidR="002514B0">
        <w:rPr>
          <w:rStyle w:val="BodyTextChar"/>
        </w:rPr>
        <w:t xml:space="preserve"> </w:t>
      </w:r>
      <w:r w:rsidRPr="003C7F6D">
        <w:rPr>
          <w:rStyle w:val="BodyTextChar"/>
        </w:rPr>
        <w:t>cross-subsidies</w:t>
      </w:r>
      <w:r w:rsidR="002514B0">
        <w:rPr>
          <w:rStyle w:val="BodyTextChar"/>
        </w:rPr>
        <w:t xml:space="preserve"> </w:t>
      </w:r>
      <w:r w:rsidRPr="003C7F6D">
        <w:rPr>
          <w:rStyle w:val="BodyTextChar"/>
        </w:rPr>
        <w:t>over</w:t>
      </w:r>
      <w:r w:rsidR="002514B0">
        <w:rPr>
          <w:rStyle w:val="BodyTextChar"/>
        </w:rPr>
        <w:t xml:space="preserve"> </w:t>
      </w:r>
      <w:r w:rsidR="003063B1">
        <w:rPr>
          <w:rStyle w:val="BodyTextChar"/>
        </w:rPr>
        <w:t>a ten-year period,</w:t>
      </w:r>
      <w:r w:rsidR="002514B0">
        <w:rPr>
          <w:rStyle w:val="BodyTextChar"/>
        </w:rPr>
        <w:t xml:space="preserve"> </w:t>
      </w:r>
      <w:r w:rsidRPr="003C7F6D">
        <w:rPr>
          <w:rStyle w:val="BodyTextChar"/>
        </w:rPr>
        <w:t>and</w:t>
      </w:r>
      <w:r w:rsidR="002514B0">
        <w:rPr>
          <w:rStyle w:val="BodyTextChar"/>
        </w:rPr>
        <w:t xml:space="preserve"> </w:t>
      </w:r>
      <w:r w:rsidRPr="003C7F6D">
        <w:rPr>
          <w:rStyle w:val="BodyTextChar"/>
        </w:rPr>
        <w:t>avoid</w:t>
      </w:r>
      <w:r w:rsidR="003063B1">
        <w:rPr>
          <w:rStyle w:val="BodyTextChar"/>
        </w:rPr>
        <w:t>ing</w:t>
      </w:r>
      <w:r w:rsidR="002514B0">
        <w:rPr>
          <w:rStyle w:val="BodyTextChar"/>
        </w:rPr>
        <w:t xml:space="preserve"> </w:t>
      </w:r>
      <w:r w:rsidRPr="003C7F6D">
        <w:rPr>
          <w:rStyle w:val="BodyTextChar"/>
        </w:rPr>
        <w:t>rate</w:t>
      </w:r>
      <w:r w:rsidR="002514B0">
        <w:rPr>
          <w:rStyle w:val="BodyTextChar"/>
        </w:rPr>
        <w:t xml:space="preserve"> </w:t>
      </w:r>
      <w:r w:rsidRPr="003C7F6D">
        <w:rPr>
          <w:rStyle w:val="BodyTextChar"/>
        </w:rPr>
        <w:t>shock</w:t>
      </w:r>
      <w:r w:rsidR="002514B0">
        <w:rPr>
          <w:rStyle w:val="BodyTextChar"/>
        </w:rPr>
        <w:t xml:space="preserve"> </w:t>
      </w:r>
      <w:r w:rsidRPr="003C7F6D">
        <w:rPr>
          <w:rStyle w:val="BodyTextChar"/>
        </w:rPr>
        <w:t>for</w:t>
      </w:r>
      <w:r w:rsidR="002514B0">
        <w:rPr>
          <w:rStyle w:val="BodyTextChar"/>
        </w:rPr>
        <w:t xml:space="preserve"> </w:t>
      </w:r>
      <w:r w:rsidRPr="003C7F6D">
        <w:rPr>
          <w:rStyle w:val="BodyTextChar"/>
        </w:rPr>
        <w:t>Residential</w:t>
      </w:r>
      <w:r w:rsidR="002514B0">
        <w:rPr>
          <w:rStyle w:val="BodyTextChar"/>
        </w:rPr>
        <w:t xml:space="preserve"> </w:t>
      </w:r>
      <w:r w:rsidRPr="003C7F6D">
        <w:rPr>
          <w:rStyle w:val="BodyTextChar"/>
        </w:rPr>
        <w:t>Customers</w:t>
      </w:r>
      <w:r w:rsidR="003063B1">
        <w:rPr>
          <w:rStyle w:val="BodyTextChar"/>
        </w:rPr>
        <w:t>,</w:t>
      </w:r>
      <w:r w:rsidR="002514B0">
        <w:rPr>
          <w:rStyle w:val="BodyTextChar"/>
        </w:rPr>
        <w:t xml:space="preserve"> </w:t>
      </w:r>
      <w:r w:rsidRPr="003C7F6D">
        <w:rPr>
          <w:rStyle w:val="BodyTextChar"/>
        </w:rPr>
        <w:t>by</w:t>
      </w:r>
      <w:r w:rsidR="002514B0">
        <w:rPr>
          <w:rStyle w:val="BodyTextChar"/>
        </w:rPr>
        <w:t xml:space="preserve"> </w:t>
      </w:r>
      <w:r w:rsidRPr="003C7F6D">
        <w:rPr>
          <w:rStyle w:val="BodyTextChar"/>
        </w:rPr>
        <w:t>allowing</w:t>
      </w:r>
      <w:r w:rsidR="002514B0">
        <w:rPr>
          <w:rStyle w:val="BodyTextChar"/>
        </w:rPr>
        <w:t xml:space="preserve"> </w:t>
      </w:r>
      <w:r w:rsidRPr="003C7F6D">
        <w:rPr>
          <w:rStyle w:val="BodyTextChar"/>
        </w:rPr>
        <w:t>a</w:t>
      </w:r>
      <w:r w:rsidR="002514B0">
        <w:rPr>
          <w:rStyle w:val="BodyTextChar"/>
        </w:rPr>
        <w:t xml:space="preserve"> </w:t>
      </w:r>
      <w:r w:rsidRPr="003C7F6D">
        <w:rPr>
          <w:rStyle w:val="BodyTextChar"/>
        </w:rPr>
        <w:t>CLEP</w:t>
      </w:r>
      <w:r w:rsidR="002514B0">
        <w:rPr>
          <w:rStyle w:val="BodyTextChar"/>
        </w:rPr>
        <w:t xml:space="preserve"> </w:t>
      </w:r>
      <w:r w:rsidRPr="003C7F6D">
        <w:rPr>
          <w:rStyle w:val="BodyTextChar"/>
        </w:rPr>
        <w:t>OPT-IN</w:t>
      </w:r>
      <w:r w:rsidR="002514B0">
        <w:rPr>
          <w:rStyle w:val="BodyTextChar"/>
        </w:rPr>
        <w:t xml:space="preserve"> </w:t>
      </w:r>
      <w:r w:rsidR="00BC7E53">
        <w:rPr>
          <w:rStyle w:val="BodyTextChar"/>
        </w:rPr>
        <w:t xml:space="preserve">rate </w:t>
      </w:r>
      <w:r w:rsidRPr="003C7F6D">
        <w:rPr>
          <w:rStyle w:val="BodyTextChar"/>
        </w:rPr>
        <w:t>for</w:t>
      </w:r>
      <w:r w:rsidR="002514B0">
        <w:rPr>
          <w:rStyle w:val="BodyTextChar"/>
        </w:rPr>
        <w:t xml:space="preserve"> </w:t>
      </w:r>
      <w:r w:rsidRPr="003C7F6D">
        <w:rPr>
          <w:rStyle w:val="BodyTextChar"/>
        </w:rPr>
        <w:t>all</w:t>
      </w:r>
      <w:r w:rsidR="002514B0">
        <w:rPr>
          <w:rStyle w:val="BodyTextChar"/>
        </w:rPr>
        <w:t xml:space="preserve"> </w:t>
      </w:r>
      <w:r w:rsidRPr="003C7F6D">
        <w:rPr>
          <w:rStyle w:val="BodyTextChar"/>
        </w:rPr>
        <w:t>customers</w:t>
      </w:r>
      <w:r w:rsidR="003063B1">
        <w:rPr>
          <w:rStyle w:val="BodyTextChar"/>
        </w:rPr>
        <w:t>,</w:t>
      </w:r>
      <w:r w:rsidR="00BC7E53">
        <w:rPr>
          <w:rStyle w:val="BodyTextChar"/>
        </w:rPr>
        <w:t xml:space="preserve"> </w:t>
      </w:r>
      <w:r w:rsidRPr="003C7F6D">
        <w:rPr>
          <w:rStyle w:val="BodyTextChar"/>
        </w:rPr>
        <w:t>that</w:t>
      </w:r>
      <w:r w:rsidR="002514B0">
        <w:rPr>
          <w:rStyle w:val="BodyTextChar"/>
        </w:rPr>
        <w:t xml:space="preserve"> </w:t>
      </w:r>
      <w:r w:rsidRPr="003C7F6D">
        <w:rPr>
          <w:rStyle w:val="BodyTextChar"/>
        </w:rPr>
        <w:t>would</w:t>
      </w:r>
      <w:r w:rsidR="002514B0">
        <w:rPr>
          <w:rStyle w:val="BodyTextChar"/>
        </w:rPr>
        <w:t xml:space="preserve"> </w:t>
      </w:r>
      <w:r w:rsidRPr="003C7F6D">
        <w:rPr>
          <w:rStyle w:val="BodyTextChar"/>
        </w:rPr>
        <w:t>more</w:t>
      </w:r>
      <w:r w:rsidR="002514B0">
        <w:rPr>
          <w:rStyle w:val="BodyTextChar"/>
        </w:rPr>
        <w:t xml:space="preserve"> </w:t>
      </w:r>
      <w:r w:rsidRPr="003C7F6D">
        <w:rPr>
          <w:rStyle w:val="BodyTextChar"/>
        </w:rPr>
        <w:t>than</w:t>
      </w:r>
      <w:r w:rsidR="002514B0">
        <w:rPr>
          <w:rStyle w:val="BodyTextChar"/>
        </w:rPr>
        <w:t xml:space="preserve"> </w:t>
      </w:r>
      <w:r w:rsidRPr="003C7F6D">
        <w:rPr>
          <w:rStyle w:val="BodyTextChar"/>
        </w:rPr>
        <w:t>compensate</w:t>
      </w:r>
      <w:r w:rsidR="002514B0">
        <w:rPr>
          <w:rStyle w:val="BodyTextChar"/>
        </w:rPr>
        <w:t xml:space="preserve"> </w:t>
      </w:r>
      <w:r w:rsidRPr="003C7F6D">
        <w:rPr>
          <w:rStyle w:val="BodyTextChar"/>
        </w:rPr>
        <w:t>for</w:t>
      </w:r>
      <w:r w:rsidR="002514B0">
        <w:rPr>
          <w:rStyle w:val="BodyTextChar"/>
        </w:rPr>
        <w:t xml:space="preserve"> </w:t>
      </w:r>
      <w:r w:rsidRPr="003C7F6D">
        <w:rPr>
          <w:rStyle w:val="BodyTextChar"/>
        </w:rPr>
        <w:t>pure</w:t>
      </w:r>
      <w:r w:rsidR="002514B0">
        <w:rPr>
          <w:rStyle w:val="BodyTextChar"/>
        </w:rPr>
        <w:t xml:space="preserve"> </w:t>
      </w:r>
      <w:r w:rsidRPr="003C7F6D">
        <w:rPr>
          <w:rStyle w:val="BodyTextChar"/>
        </w:rPr>
        <w:t>residential</w:t>
      </w:r>
      <w:r w:rsidR="002514B0">
        <w:rPr>
          <w:rStyle w:val="BodyTextChar"/>
        </w:rPr>
        <w:t xml:space="preserve"> </w:t>
      </w:r>
      <w:r w:rsidRPr="003C7F6D">
        <w:rPr>
          <w:rStyle w:val="BodyTextChar"/>
        </w:rPr>
        <w:t>rate</w:t>
      </w:r>
      <w:r w:rsidR="002514B0">
        <w:rPr>
          <w:rStyle w:val="BodyTextChar"/>
        </w:rPr>
        <w:t xml:space="preserve"> </w:t>
      </w:r>
      <w:r w:rsidRPr="003C7F6D">
        <w:rPr>
          <w:rStyle w:val="BodyTextChar"/>
        </w:rPr>
        <w:t>increases.</w:t>
      </w:r>
      <w:r w:rsidR="00F344DD">
        <w:rPr>
          <w:rStyle w:val="FootnoteReference"/>
        </w:rPr>
        <w:footnoteReference w:id="39"/>
      </w:r>
    </w:p>
    <w:p w14:paraId="5AD37DCA" w14:textId="6AC3F5AB" w:rsidR="00064848" w:rsidRPr="003C7F6D" w:rsidRDefault="00064848" w:rsidP="00064848">
      <w:pPr>
        <w:pStyle w:val="Heading2"/>
      </w:pPr>
      <w:bookmarkStart w:id="81" w:name="_Toc16165410"/>
      <w:bookmarkStart w:id="82" w:name="_Toc16175742"/>
      <w:bookmarkStart w:id="83" w:name="_Toc16317737"/>
      <w:bookmarkStart w:id="84" w:name="_Toc16254901"/>
      <w:r w:rsidRPr="003C7F6D">
        <w:t>CLEP</w:t>
      </w:r>
      <w:r w:rsidR="00A17797">
        <w:t>, by design,</w:t>
      </w:r>
      <w:r w:rsidR="002514B0">
        <w:t xml:space="preserve"> </w:t>
      </w:r>
      <w:r w:rsidRPr="003C7F6D">
        <w:t>directly</w:t>
      </w:r>
      <w:r w:rsidR="002514B0">
        <w:t xml:space="preserve"> </w:t>
      </w:r>
      <w:r w:rsidRPr="003C7F6D">
        <w:t>lowers</w:t>
      </w:r>
      <w:r w:rsidR="002514B0">
        <w:t xml:space="preserve"> </w:t>
      </w:r>
      <w:r w:rsidRPr="003C7F6D">
        <w:t>its</w:t>
      </w:r>
      <w:r w:rsidR="002514B0">
        <w:t xml:space="preserve"> </w:t>
      </w:r>
      <w:r w:rsidRPr="003C7F6D">
        <w:t>costumers’</w:t>
      </w:r>
      <w:r w:rsidR="002514B0">
        <w:t xml:space="preserve"> </w:t>
      </w:r>
      <w:r w:rsidRPr="003C7F6D">
        <w:t>peak</w:t>
      </w:r>
      <w:r w:rsidR="00BC7E53">
        <w:t xml:space="preserve"> demand</w:t>
      </w:r>
      <w:r w:rsidR="002604A8">
        <w:t>s</w:t>
      </w:r>
      <w:r w:rsidR="00A17797">
        <w:t>,</w:t>
      </w:r>
      <w:r w:rsidRPr="003C7F6D">
        <w:t>.</w:t>
      </w:r>
      <w:bookmarkEnd w:id="81"/>
      <w:bookmarkEnd w:id="82"/>
      <w:r w:rsidR="001335D6">
        <w:rPr>
          <w:rStyle w:val="FootnoteReference"/>
        </w:rPr>
        <w:footnoteReference w:id="40"/>
      </w:r>
      <w:bookmarkEnd w:id="83"/>
      <w:bookmarkEnd w:id="84"/>
      <w:r w:rsidR="002514B0">
        <w:t xml:space="preserve"> </w:t>
      </w:r>
    </w:p>
    <w:p w14:paraId="7E8D86F2" w14:textId="4D3BF7F4" w:rsidR="00064848" w:rsidRPr="003C7F6D" w:rsidRDefault="00064848" w:rsidP="00064848">
      <w:pPr>
        <w:pStyle w:val="BodyText"/>
      </w:pPr>
      <w:r w:rsidRPr="003C7F6D">
        <w:t>and</w:t>
      </w:r>
      <w:r w:rsidR="002514B0">
        <w:t xml:space="preserve"> </w:t>
      </w:r>
      <w:r w:rsidRPr="003C7F6D">
        <w:t>helps</w:t>
      </w:r>
      <w:r w:rsidR="002514B0">
        <w:t xml:space="preserve"> </w:t>
      </w:r>
      <w:r w:rsidRPr="003C7F6D">
        <w:t>to</w:t>
      </w:r>
      <w:r w:rsidR="002514B0">
        <w:t xml:space="preserve"> </w:t>
      </w:r>
      <w:r w:rsidRPr="003C7F6D">
        <w:t>extinguish</w:t>
      </w:r>
      <w:r w:rsidR="002514B0">
        <w:t xml:space="preserve"> </w:t>
      </w:r>
      <w:r w:rsidRPr="003C7F6D">
        <w:t>cross-subsidies</w:t>
      </w:r>
      <w:r w:rsidR="002514B0">
        <w:t xml:space="preserve"> </w:t>
      </w:r>
      <w:r w:rsidRPr="003C7F6D">
        <w:t>among</w:t>
      </w:r>
      <w:r w:rsidR="002514B0">
        <w:t xml:space="preserve"> </w:t>
      </w:r>
      <w:r w:rsidRPr="003C7F6D">
        <w:t>customers</w:t>
      </w:r>
      <w:r w:rsidR="002514B0">
        <w:t xml:space="preserve"> </w:t>
      </w:r>
      <w:r w:rsidRPr="003C7F6D">
        <w:t>in</w:t>
      </w:r>
      <w:r w:rsidR="002514B0">
        <w:t xml:space="preserve"> </w:t>
      </w:r>
      <w:r w:rsidRPr="003C7F6D">
        <w:t>compliance</w:t>
      </w:r>
      <w:r w:rsidR="002514B0">
        <w:t xml:space="preserve"> </w:t>
      </w:r>
      <w:r w:rsidRPr="003C7F6D">
        <w:t>with</w:t>
      </w:r>
      <w:r w:rsidR="002514B0">
        <w:t xml:space="preserve"> </w:t>
      </w:r>
      <w:r w:rsidRPr="003C7F6D">
        <w:t>FERC’s</w:t>
      </w:r>
      <w:r w:rsidR="002514B0">
        <w:t xml:space="preserve"> </w:t>
      </w:r>
      <w:r w:rsidRPr="003C7F6D">
        <w:t>Cost-</w:t>
      </w:r>
      <w:r w:rsidRPr="003C7F6D">
        <w:lastRenderedPageBreak/>
        <w:t>Causation</w:t>
      </w:r>
      <w:r w:rsidR="002514B0">
        <w:t xml:space="preserve"> </w:t>
      </w:r>
      <w:r w:rsidRPr="003C7F6D">
        <w:t>ruling</w:t>
      </w:r>
      <w:r w:rsidR="002514B0">
        <w:t xml:space="preserve"> </w:t>
      </w:r>
      <w:r w:rsidRPr="003C7F6D">
        <w:t>of</w:t>
      </w:r>
      <w:r w:rsidR="002514B0">
        <w:t xml:space="preserve"> </w:t>
      </w:r>
      <w:r w:rsidRPr="003C7F6D">
        <w:t>1992</w:t>
      </w:r>
      <w:r w:rsidR="001335D6">
        <w:t>.</w:t>
      </w:r>
    </w:p>
    <w:p w14:paraId="167EE695" w14:textId="40340D8B" w:rsidR="00064848" w:rsidRPr="003C7F6D" w:rsidRDefault="007176D5" w:rsidP="00064848">
      <w:pPr>
        <w:pStyle w:val="Heading2"/>
      </w:pPr>
      <w:bookmarkStart w:id="85" w:name="_Toc16165411"/>
      <w:bookmarkStart w:id="86" w:name="_Toc16175743"/>
      <w:bookmarkStart w:id="87" w:name="_Toc16317738"/>
      <w:bookmarkStart w:id="88" w:name="_Toc16254902"/>
      <w:r>
        <w:t>1</w:t>
      </w:r>
      <w:r w:rsidR="002514B0">
        <w:t xml:space="preserve"> </w:t>
      </w:r>
      <w:r w:rsidR="00064848" w:rsidRPr="003C7F6D">
        <w:t>Intervenor</w:t>
      </w:r>
      <w:r w:rsidR="002514B0">
        <w:t xml:space="preserve"> </w:t>
      </w:r>
      <w:r w:rsidR="00064848" w:rsidRPr="003C7F6D">
        <w:t>oppose</w:t>
      </w:r>
      <w:r>
        <w:t>s</w:t>
      </w:r>
      <w:r w:rsidR="002514B0">
        <w:t xml:space="preserve"> </w:t>
      </w:r>
      <w:r w:rsidR="00064848" w:rsidRPr="003C7F6D">
        <w:t>the</w:t>
      </w:r>
      <w:r w:rsidR="002514B0">
        <w:t xml:space="preserve"> </w:t>
      </w:r>
      <w:r w:rsidR="00064848" w:rsidRPr="003C7F6D">
        <w:t>use</w:t>
      </w:r>
      <w:r w:rsidR="002514B0">
        <w:t xml:space="preserve"> </w:t>
      </w:r>
      <w:r w:rsidR="00064848" w:rsidRPr="003C7F6D">
        <w:t>of</w:t>
      </w:r>
      <w:r w:rsidR="002514B0">
        <w:t xml:space="preserve"> </w:t>
      </w:r>
      <w:r w:rsidR="00064848" w:rsidRPr="003C7F6D">
        <w:t>the</w:t>
      </w:r>
      <w:r w:rsidR="002514B0">
        <w:t xml:space="preserve"> </w:t>
      </w:r>
      <w:r w:rsidR="00064848" w:rsidRPr="003C7F6D">
        <w:t>12-point</w:t>
      </w:r>
      <w:r w:rsidR="002514B0">
        <w:t xml:space="preserve"> </w:t>
      </w:r>
      <w:r w:rsidR="00064848" w:rsidRPr="003C7F6D">
        <w:t>CD</w:t>
      </w:r>
      <w:r w:rsidR="002514B0">
        <w:t xml:space="preserve"> </w:t>
      </w:r>
      <w:r w:rsidR="00064848" w:rsidRPr="003C7F6D">
        <w:t>test</w:t>
      </w:r>
      <w:r w:rsidR="002514B0">
        <w:t xml:space="preserve"> </w:t>
      </w:r>
      <w:r w:rsidR="00064848" w:rsidRPr="003C7F6D">
        <w:t>in</w:t>
      </w:r>
      <w:r w:rsidR="002514B0">
        <w:t xml:space="preserve"> </w:t>
      </w:r>
      <w:r w:rsidR="00064848" w:rsidRPr="003C7F6D">
        <w:t>the</w:t>
      </w:r>
      <w:r w:rsidR="002514B0">
        <w:t xml:space="preserve"> </w:t>
      </w:r>
      <w:r w:rsidR="00064848" w:rsidRPr="003C7F6D">
        <w:t>annual</w:t>
      </w:r>
      <w:r w:rsidR="002514B0">
        <w:t xml:space="preserve"> </w:t>
      </w:r>
      <w:r w:rsidR="00064848" w:rsidRPr="003C7F6D">
        <w:t>FRP</w:t>
      </w:r>
      <w:r w:rsidR="002514B0">
        <w:t xml:space="preserve"> </w:t>
      </w:r>
      <w:r w:rsidR="00064848" w:rsidRPr="003C7F6D">
        <w:t>true-up.</w:t>
      </w:r>
      <w:bookmarkEnd w:id="85"/>
      <w:bookmarkEnd w:id="86"/>
      <w:bookmarkEnd w:id="87"/>
      <w:bookmarkEnd w:id="88"/>
    </w:p>
    <w:p w14:paraId="1D608E90" w14:textId="18ADCC02" w:rsidR="00064848" w:rsidRPr="003C7F6D" w:rsidRDefault="00BC7E53" w:rsidP="00064848">
      <w:pPr>
        <w:pStyle w:val="BodyText"/>
      </w:pPr>
      <w:r>
        <w:t>One</w:t>
      </w:r>
      <w:r w:rsidR="002514B0">
        <w:t xml:space="preserve"> </w:t>
      </w:r>
      <w:r w:rsidR="00E26D41">
        <w:t>i</w:t>
      </w:r>
      <w:r w:rsidR="00064848" w:rsidRPr="003C7F6D">
        <w:t>ntervenor</w:t>
      </w:r>
      <w:r w:rsidR="002514B0">
        <w:t xml:space="preserve"> </w:t>
      </w:r>
      <w:r>
        <w:t>is</w:t>
      </w:r>
      <w:r w:rsidR="002514B0">
        <w:t xml:space="preserve"> </w:t>
      </w:r>
      <w:r w:rsidR="00064848" w:rsidRPr="003C7F6D">
        <w:t>also</w:t>
      </w:r>
      <w:r w:rsidR="002514B0">
        <w:t xml:space="preserve"> </w:t>
      </w:r>
      <w:r w:rsidR="00064848" w:rsidRPr="003C7F6D">
        <w:t>opposed</w:t>
      </w:r>
      <w:r w:rsidR="002514B0">
        <w:t xml:space="preserve"> </w:t>
      </w:r>
      <w:r w:rsidR="00064848" w:rsidRPr="003C7F6D">
        <w:t>to</w:t>
      </w:r>
      <w:r w:rsidR="002514B0">
        <w:t xml:space="preserve"> </w:t>
      </w:r>
      <w:r w:rsidR="00064848" w:rsidRPr="003C7F6D">
        <w:t>an</w:t>
      </w:r>
      <w:r w:rsidR="002514B0">
        <w:t xml:space="preserve"> </w:t>
      </w:r>
      <w:r w:rsidR="00064848" w:rsidRPr="003C7F6D">
        <w:t>aspect</w:t>
      </w:r>
      <w:r w:rsidR="002514B0">
        <w:t xml:space="preserve"> </w:t>
      </w:r>
      <w:r w:rsidR="00064848" w:rsidRPr="003C7F6D">
        <w:t>of</w:t>
      </w:r>
      <w:r w:rsidR="002514B0">
        <w:t xml:space="preserve"> </w:t>
      </w:r>
      <w:r w:rsidR="00064848" w:rsidRPr="003C7F6D">
        <w:t>the</w:t>
      </w:r>
      <w:r w:rsidR="002514B0">
        <w:t xml:space="preserve"> </w:t>
      </w:r>
      <w:r w:rsidR="00064848" w:rsidRPr="003C7F6D">
        <w:t>proposed</w:t>
      </w:r>
      <w:r w:rsidR="002514B0">
        <w:t xml:space="preserve"> </w:t>
      </w:r>
      <w:r w:rsidR="00064848" w:rsidRPr="003C7F6D">
        <w:t>Formula</w:t>
      </w:r>
      <w:r w:rsidR="002514B0">
        <w:t xml:space="preserve"> </w:t>
      </w:r>
      <w:r w:rsidR="00064848" w:rsidRPr="003C7F6D">
        <w:t>Rate</w:t>
      </w:r>
      <w:r w:rsidR="002514B0">
        <w:t xml:space="preserve"> </w:t>
      </w:r>
      <w:r w:rsidR="00064848" w:rsidRPr="003C7F6D">
        <w:t>Plan</w:t>
      </w:r>
      <w:r w:rsidR="002514B0">
        <w:t xml:space="preserve"> </w:t>
      </w:r>
      <w:r w:rsidR="00064848" w:rsidRPr="003C7F6D">
        <w:t>(FRP)</w:t>
      </w:r>
      <w:r w:rsidR="00A17797">
        <w:t>,</w:t>
      </w:r>
      <w:r w:rsidR="002514B0">
        <w:t xml:space="preserve"> </w:t>
      </w:r>
      <w:r w:rsidR="00064848" w:rsidRPr="003C7F6D">
        <w:t>that</w:t>
      </w:r>
      <w:r w:rsidR="002514B0">
        <w:t xml:space="preserve"> </w:t>
      </w:r>
      <w:r w:rsidR="00064848" w:rsidRPr="003C7F6D">
        <w:t>will</w:t>
      </w:r>
      <w:r w:rsidR="002514B0">
        <w:t xml:space="preserve"> </w:t>
      </w:r>
      <w:r w:rsidR="00064848" w:rsidRPr="003C7F6D">
        <w:t>require</w:t>
      </w:r>
      <w:r w:rsidR="002514B0">
        <w:t xml:space="preserve"> </w:t>
      </w:r>
      <w:r w:rsidR="00064848" w:rsidRPr="003C7F6D">
        <w:t>repeating</w:t>
      </w:r>
      <w:r w:rsidR="002514B0">
        <w:t xml:space="preserve"> </w:t>
      </w:r>
      <w:r w:rsidR="00064848" w:rsidRPr="003C7F6D">
        <w:t>the</w:t>
      </w:r>
      <w:r w:rsidR="002514B0">
        <w:t xml:space="preserve"> </w:t>
      </w:r>
      <w:r w:rsidR="00064848" w:rsidRPr="003C7F6D">
        <w:t>12-point</w:t>
      </w:r>
      <w:r w:rsidR="002514B0">
        <w:t xml:space="preserve"> </w:t>
      </w:r>
      <w:r w:rsidR="00064848" w:rsidRPr="003C7F6D">
        <w:t>CD</w:t>
      </w:r>
      <w:r w:rsidR="002514B0">
        <w:t xml:space="preserve"> </w:t>
      </w:r>
      <w:r w:rsidR="00064848" w:rsidRPr="003C7F6D">
        <w:t>test</w:t>
      </w:r>
      <w:r w:rsidR="002514B0">
        <w:t xml:space="preserve"> </w:t>
      </w:r>
      <w:r w:rsidR="00064848" w:rsidRPr="003C7F6D">
        <w:t>annually</w:t>
      </w:r>
      <w:r w:rsidR="001335D6">
        <w:rPr>
          <w:rStyle w:val="FootnoteReference"/>
        </w:rPr>
        <w:footnoteReference w:id="41"/>
      </w:r>
      <w:r w:rsidR="00A17797">
        <w:t xml:space="preserve">. </w:t>
      </w:r>
      <w:r w:rsidR="002514B0">
        <w:t xml:space="preserve"> </w:t>
      </w:r>
      <w:r w:rsidR="00A17797">
        <w:t>T</w:t>
      </w:r>
      <w:r w:rsidR="00064848" w:rsidRPr="003C7F6D">
        <w:t>hus</w:t>
      </w:r>
      <w:r w:rsidR="00A17797">
        <w:t>,</w:t>
      </w:r>
      <w:r w:rsidR="00CE05E1">
        <w:t xml:space="preserve"> </w:t>
      </w:r>
      <w:r w:rsidR="00A17797">
        <w:t>there will be</w:t>
      </w:r>
      <w:r w:rsidR="002514B0">
        <w:t xml:space="preserve"> </w:t>
      </w:r>
      <w:r w:rsidR="00064848" w:rsidRPr="003C7F6D">
        <w:t>a</w:t>
      </w:r>
      <w:r w:rsidR="002514B0">
        <w:t xml:space="preserve"> </w:t>
      </w:r>
      <w:r w:rsidR="00064848" w:rsidRPr="003C7F6D">
        <w:t>“reconsideration”</w:t>
      </w:r>
      <w:r w:rsidR="002514B0">
        <w:t xml:space="preserve"> </w:t>
      </w:r>
      <w:r w:rsidR="00064848" w:rsidRPr="003C7F6D">
        <w:t>of</w:t>
      </w:r>
      <w:r w:rsidR="002514B0">
        <w:t xml:space="preserve"> </w:t>
      </w:r>
      <w:r w:rsidR="00064848" w:rsidRPr="003C7F6D">
        <w:t>the</w:t>
      </w:r>
      <w:r w:rsidR="002514B0">
        <w:t xml:space="preserve"> </w:t>
      </w:r>
      <w:r w:rsidR="00064848" w:rsidRPr="003C7F6D">
        <w:t>current</w:t>
      </w:r>
      <w:r w:rsidR="002514B0">
        <w:t xml:space="preserve"> </w:t>
      </w:r>
      <w:r w:rsidR="00064848" w:rsidRPr="003C7F6D">
        <w:t>and</w:t>
      </w:r>
      <w:r w:rsidR="002514B0">
        <w:t xml:space="preserve"> </w:t>
      </w:r>
      <w:r w:rsidR="00064848" w:rsidRPr="003C7F6D">
        <w:t>future</w:t>
      </w:r>
      <w:r w:rsidR="002514B0">
        <w:t xml:space="preserve"> </w:t>
      </w:r>
      <w:r w:rsidR="00064848" w:rsidRPr="003C7F6D">
        <w:t>SAC</w:t>
      </w:r>
      <w:r w:rsidR="00A17797">
        <w:t>,</w:t>
      </w:r>
      <w:r w:rsidR="002514B0">
        <w:t xml:space="preserve"> </w:t>
      </w:r>
      <w:r w:rsidR="00064848" w:rsidRPr="003C7F6D">
        <w:t>in</w:t>
      </w:r>
      <w:r w:rsidR="002514B0">
        <w:t xml:space="preserve"> </w:t>
      </w:r>
      <w:r w:rsidR="00064848" w:rsidRPr="003C7F6D">
        <w:t>order</w:t>
      </w:r>
      <w:r w:rsidR="002514B0">
        <w:t xml:space="preserve"> </w:t>
      </w:r>
      <w:r w:rsidR="00064848" w:rsidRPr="003C7F6D">
        <w:t>to</w:t>
      </w:r>
      <w:r w:rsidR="002514B0">
        <w:t xml:space="preserve"> </w:t>
      </w:r>
      <w:r w:rsidR="00064848" w:rsidRPr="003C7F6D">
        <w:t>annually</w:t>
      </w:r>
      <w:r w:rsidR="002514B0">
        <w:t xml:space="preserve"> </w:t>
      </w:r>
      <w:r w:rsidR="00064848" w:rsidRPr="003C7F6D">
        <w:t>consider</w:t>
      </w:r>
      <w:r w:rsidR="002514B0">
        <w:t xml:space="preserve"> </w:t>
      </w:r>
      <w:r w:rsidR="00064848" w:rsidRPr="003C7F6D">
        <w:t>adjusting</w:t>
      </w:r>
      <w:r w:rsidR="002514B0">
        <w:t xml:space="preserve"> </w:t>
      </w:r>
      <w:r w:rsidR="00064848" w:rsidRPr="003C7F6D">
        <w:t>ENO’s</w:t>
      </w:r>
      <w:r w:rsidR="002514B0">
        <w:t xml:space="preserve"> </w:t>
      </w:r>
      <w:r w:rsidR="00064848" w:rsidRPr="003C7F6D">
        <w:t>“weighted</w:t>
      </w:r>
      <w:r w:rsidR="002514B0">
        <w:t xml:space="preserve"> </w:t>
      </w:r>
      <w:r w:rsidR="00064848" w:rsidRPr="003C7F6D">
        <w:t>average”</w:t>
      </w:r>
      <w:r w:rsidR="002514B0">
        <w:t xml:space="preserve"> </w:t>
      </w:r>
      <w:r w:rsidR="00064848" w:rsidRPr="003C7F6D">
        <w:t>Return</w:t>
      </w:r>
      <w:r w:rsidR="002514B0">
        <w:t xml:space="preserve"> </w:t>
      </w:r>
      <w:r w:rsidR="00064848" w:rsidRPr="003C7F6D">
        <w:t>on</w:t>
      </w:r>
      <w:r w:rsidR="002514B0">
        <w:t xml:space="preserve"> </w:t>
      </w:r>
      <w:r w:rsidR="00064848" w:rsidRPr="003C7F6D">
        <w:t>Equity</w:t>
      </w:r>
      <w:r w:rsidR="002514B0">
        <w:t xml:space="preserve"> </w:t>
      </w:r>
      <w:r w:rsidR="00064848" w:rsidRPr="003C7F6D">
        <w:t>(ROE)</w:t>
      </w:r>
      <w:r w:rsidR="00A17797">
        <w:t>.</w:t>
      </w:r>
      <w:r w:rsidR="002514B0">
        <w:t xml:space="preserve"> </w:t>
      </w:r>
      <w:r w:rsidR="00064848" w:rsidRPr="003C7F6D">
        <w:t>and</w:t>
      </w:r>
      <w:r w:rsidR="002514B0">
        <w:t xml:space="preserve"> </w:t>
      </w:r>
      <w:r w:rsidR="00064848" w:rsidRPr="003C7F6D">
        <w:t>therefore</w:t>
      </w:r>
      <w:r w:rsidR="00CE05E1">
        <w:t>,</w:t>
      </w:r>
      <w:r w:rsidR="002514B0">
        <w:t xml:space="preserve"> </w:t>
      </w:r>
      <w:r w:rsidR="00064848" w:rsidRPr="003C7F6D">
        <w:t>argue</w:t>
      </w:r>
      <w:r w:rsidR="002514B0">
        <w:t xml:space="preserve"> </w:t>
      </w:r>
      <w:r w:rsidR="00064848" w:rsidRPr="003C7F6D">
        <w:t>that</w:t>
      </w:r>
      <w:r w:rsidR="002514B0">
        <w:t xml:space="preserve"> </w:t>
      </w:r>
      <w:r w:rsidR="00064848" w:rsidRPr="003C7F6D">
        <w:t>each</w:t>
      </w:r>
      <w:r w:rsidR="002514B0">
        <w:t xml:space="preserve"> </w:t>
      </w:r>
      <w:r w:rsidR="00064848" w:rsidRPr="003C7F6D">
        <w:t>such</w:t>
      </w:r>
      <w:r w:rsidR="002514B0">
        <w:t xml:space="preserve"> </w:t>
      </w:r>
      <w:r w:rsidR="00064848" w:rsidRPr="003C7F6D">
        <w:t>FRP</w:t>
      </w:r>
      <w:r w:rsidR="002514B0">
        <w:t xml:space="preserve"> </w:t>
      </w:r>
      <w:r w:rsidR="00064848" w:rsidRPr="003C7F6D">
        <w:t>“true-up”</w:t>
      </w:r>
      <w:r w:rsidR="002514B0">
        <w:t xml:space="preserve"> </w:t>
      </w:r>
      <w:r w:rsidR="00064848" w:rsidRPr="003C7F6D">
        <w:t>will</w:t>
      </w:r>
      <w:r w:rsidR="002514B0">
        <w:t xml:space="preserve"> </w:t>
      </w:r>
      <w:r w:rsidR="00064848" w:rsidRPr="003C7F6D">
        <w:t>turn</w:t>
      </w:r>
      <w:r w:rsidR="002514B0">
        <w:t xml:space="preserve"> </w:t>
      </w:r>
      <w:r w:rsidR="00064848" w:rsidRPr="003C7F6D">
        <w:t>into</w:t>
      </w:r>
      <w:r w:rsidR="002514B0">
        <w:t xml:space="preserve"> </w:t>
      </w:r>
      <w:r w:rsidR="00064848" w:rsidRPr="003C7F6D">
        <w:t>a</w:t>
      </w:r>
      <w:r w:rsidR="002514B0">
        <w:t xml:space="preserve"> </w:t>
      </w:r>
      <w:r w:rsidR="00064848" w:rsidRPr="003C7F6D">
        <w:t>“mini-rate</w:t>
      </w:r>
      <w:r w:rsidR="002514B0">
        <w:t xml:space="preserve"> </w:t>
      </w:r>
      <w:r w:rsidR="00064848" w:rsidRPr="003C7F6D">
        <w:t>case”.</w:t>
      </w:r>
      <w:r w:rsidR="002514B0">
        <w:t xml:space="preserve"> </w:t>
      </w:r>
      <w:r w:rsidR="00064848" w:rsidRPr="003C7F6D">
        <w:t>With</w:t>
      </w:r>
      <w:r w:rsidR="002514B0">
        <w:t xml:space="preserve"> </w:t>
      </w:r>
      <w:r w:rsidR="00064848" w:rsidRPr="003C7F6D">
        <w:t>CLEP</w:t>
      </w:r>
      <w:r w:rsidR="002514B0">
        <w:t xml:space="preserve"> </w:t>
      </w:r>
      <w:r w:rsidR="00064848" w:rsidRPr="003C7F6D">
        <w:t>this</w:t>
      </w:r>
      <w:r w:rsidR="002514B0">
        <w:t xml:space="preserve"> </w:t>
      </w:r>
      <w:r w:rsidR="00064848" w:rsidRPr="003C7F6D">
        <w:t>will</w:t>
      </w:r>
      <w:r w:rsidR="002514B0">
        <w:t xml:space="preserve"> </w:t>
      </w:r>
      <w:r w:rsidR="00064848" w:rsidRPr="003C7F6D">
        <w:t>not</w:t>
      </w:r>
      <w:r w:rsidR="002514B0">
        <w:t xml:space="preserve"> </w:t>
      </w:r>
      <w:r w:rsidR="00064848" w:rsidRPr="003C7F6D">
        <w:t>be</w:t>
      </w:r>
      <w:r w:rsidR="002514B0">
        <w:t xml:space="preserve"> </w:t>
      </w:r>
      <w:r w:rsidR="00064848" w:rsidRPr="003C7F6D">
        <w:t>required</w:t>
      </w:r>
      <w:r w:rsidR="002514B0">
        <w:t xml:space="preserve"> </w:t>
      </w:r>
      <w:r w:rsidR="00EE3444">
        <w:t xml:space="preserve">because </w:t>
      </w:r>
      <w:r w:rsidR="00064848" w:rsidRPr="003C7F6D">
        <w:t>the</w:t>
      </w:r>
      <w:r w:rsidR="002514B0">
        <w:t xml:space="preserve"> </w:t>
      </w:r>
      <w:r w:rsidR="00064848" w:rsidRPr="003C7F6D">
        <w:t>program</w:t>
      </w:r>
      <w:r w:rsidR="002514B0">
        <w:t xml:space="preserve"> </w:t>
      </w:r>
      <w:r w:rsidR="00064848" w:rsidRPr="003C7F6D">
        <w:t>and</w:t>
      </w:r>
      <w:r w:rsidR="002514B0">
        <w:t xml:space="preserve"> </w:t>
      </w:r>
      <w:r w:rsidR="00064848" w:rsidRPr="003C7F6D">
        <w:t>equations</w:t>
      </w:r>
      <w:r w:rsidR="002514B0">
        <w:t xml:space="preserve"> </w:t>
      </w:r>
      <w:r w:rsidR="00064848" w:rsidRPr="003C7F6D">
        <w:t>are</w:t>
      </w:r>
      <w:r w:rsidR="002514B0">
        <w:t xml:space="preserve"> </w:t>
      </w:r>
      <w:r w:rsidR="00064848" w:rsidRPr="003C7F6D">
        <w:t>integrally</w:t>
      </w:r>
      <w:r w:rsidR="002514B0">
        <w:t xml:space="preserve"> </w:t>
      </w:r>
      <w:r w:rsidR="00064848" w:rsidRPr="003C7F6D">
        <w:t>responsive</w:t>
      </w:r>
      <w:r w:rsidR="002514B0">
        <w:t xml:space="preserve"> </w:t>
      </w:r>
      <w:r w:rsidR="00064848" w:rsidRPr="003C7F6D">
        <w:t>to</w:t>
      </w:r>
      <w:r w:rsidR="002514B0">
        <w:t xml:space="preserve"> </w:t>
      </w:r>
      <w:r w:rsidR="00064848" w:rsidRPr="003C7F6D">
        <w:t>market</w:t>
      </w:r>
      <w:r w:rsidR="002514B0">
        <w:t xml:space="preserve"> </w:t>
      </w:r>
      <w:r w:rsidR="00064848" w:rsidRPr="003C7F6D">
        <w:t>conditions.</w:t>
      </w:r>
    </w:p>
    <w:p w14:paraId="1C49F924" w14:textId="1A69F1C7" w:rsidR="00064848" w:rsidRPr="003C7F6D" w:rsidRDefault="00064848" w:rsidP="001335D6">
      <w:pPr>
        <w:pStyle w:val="Heading2"/>
      </w:pPr>
      <w:bookmarkStart w:id="89" w:name="_Toc16165412"/>
      <w:bookmarkStart w:id="90" w:name="_Toc16175744"/>
      <w:bookmarkStart w:id="91" w:name="_Toc16317739"/>
      <w:bookmarkStart w:id="92" w:name="_Toc16254903"/>
      <w:r w:rsidRPr="003C7F6D">
        <w:t>CLEP</w:t>
      </w:r>
      <w:r w:rsidR="002514B0">
        <w:t xml:space="preserve"> </w:t>
      </w:r>
      <w:r w:rsidRPr="003C7F6D">
        <w:t>will</w:t>
      </w:r>
      <w:r w:rsidR="002514B0">
        <w:t xml:space="preserve"> </w:t>
      </w:r>
      <w:r w:rsidRPr="003C7F6D">
        <w:t>help</w:t>
      </w:r>
      <w:r w:rsidR="002514B0">
        <w:t xml:space="preserve"> </w:t>
      </w:r>
      <w:r w:rsidRPr="003C7F6D">
        <w:t>to</w:t>
      </w:r>
      <w:r w:rsidR="002514B0">
        <w:t xml:space="preserve"> </w:t>
      </w:r>
      <w:r w:rsidRPr="003C7F6D">
        <w:t>confuse</w:t>
      </w:r>
      <w:r w:rsidR="002514B0">
        <w:t xml:space="preserve"> </w:t>
      </w:r>
      <w:r w:rsidRPr="003C7F6D">
        <w:t>and</w:t>
      </w:r>
      <w:r w:rsidR="002514B0">
        <w:t xml:space="preserve"> </w:t>
      </w:r>
      <w:r w:rsidRPr="003C7F6D">
        <w:t>ameliorate</w:t>
      </w:r>
      <w:r w:rsidR="002514B0">
        <w:t xml:space="preserve"> </w:t>
      </w:r>
      <w:r w:rsidRPr="003C7F6D">
        <w:t>an</w:t>
      </w:r>
      <w:r w:rsidR="002514B0">
        <w:t xml:space="preserve"> </w:t>
      </w:r>
      <w:r w:rsidRPr="003C7F6D">
        <w:t>FRP.</w:t>
      </w:r>
      <w:bookmarkEnd w:id="89"/>
      <w:bookmarkEnd w:id="90"/>
      <w:bookmarkEnd w:id="91"/>
      <w:bookmarkEnd w:id="92"/>
      <w:r w:rsidR="002514B0">
        <w:t xml:space="preserve"> </w:t>
      </w:r>
    </w:p>
    <w:p w14:paraId="5CE790D9" w14:textId="4B9C655A" w:rsidR="00064848" w:rsidRPr="003C7F6D" w:rsidRDefault="00064848" w:rsidP="00064848">
      <w:pPr>
        <w:pStyle w:val="BodyText"/>
      </w:pPr>
      <w:r w:rsidRPr="003C7F6D">
        <w:t>CLEP</w:t>
      </w:r>
      <w:r w:rsidR="002514B0">
        <w:t xml:space="preserve"> </w:t>
      </w:r>
      <w:r w:rsidRPr="003C7F6D">
        <w:t>ameliorates</w:t>
      </w:r>
      <w:r w:rsidR="002514B0">
        <w:t xml:space="preserve"> </w:t>
      </w:r>
      <w:r w:rsidRPr="003C7F6D">
        <w:t>an</w:t>
      </w:r>
      <w:r w:rsidR="002514B0">
        <w:t xml:space="preserve"> </w:t>
      </w:r>
      <w:r w:rsidRPr="003C7F6D">
        <w:t>FRP</w:t>
      </w:r>
      <w:r w:rsidR="002514B0">
        <w:t xml:space="preserve"> </w:t>
      </w:r>
      <w:r w:rsidRPr="003C7F6D">
        <w:t>because</w:t>
      </w:r>
      <w:r w:rsidR="002514B0">
        <w:t xml:space="preserve"> </w:t>
      </w:r>
      <w:r w:rsidRPr="003C7F6D">
        <w:t>active</w:t>
      </w:r>
      <w:r w:rsidR="002514B0">
        <w:t xml:space="preserve"> </w:t>
      </w:r>
      <w:r w:rsidRPr="003C7F6D">
        <w:t>CLEP</w:t>
      </w:r>
      <w:r w:rsidR="002514B0">
        <w:t xml:space="preserve"> </w:t>
      </w:r>
      <w:r w:rsidRPr="003C7F6D">
        <w:t>customers</w:t>
      </w:r>
      <w:r w:rsidR="002514B0">
        <w:t xml:space="preserve"> </w:t>
      </w:r>
      <w:r w:rsidRPr="003C7F6D">
        <w:t>who</w:t>
      </w:r>
      <w:r w:rsidR="002514B0">
        <w:t xml:space="preserve"> </w:t>
      </w:r>
      <w:r w:rsidRPr="003C7F6D">
        <w:t>lower</w:t>
      </w:r>
      <w:r w:rsidR="002514B0">
        <w:t xml:space="preserve"> </w:t>
      </w:r>
      <w:r w:rsidRPr="003C7F6D">
        <w:t>their</w:t>
      </w:r>
      <w:r w:rsidR="002514B0">
        <w:t xml:space="preserve"> </w:t>
      </w:r>
      <w:r w:rsidRPr="003C7F6D">
        <w:t>peak</w:t>
      </w:r>
      <w:r w:rsidR="002514B0">
        <w:t xml:space="preserve"> </w:t>
      </w:r>
      <w:r w:rsidRPr="003C7F6D">
        <w:t>demand</w:t>
      </w:r>
      <w:r w:rsidR="002514B0">
        <w:t xml:space="preserve"> </w:t>
      </w:r>
      <w:r w:rsidRPr="003C7F6D">
        <w:t>will</w:t>
      </w:r>
      <w:r w:rsidR="002514B0">
        <w:t xml:space="preserve"> </w:t>
      </w:r>
      <w:r w:rsidRPr="003C7F6D">
        <w:t>be</w:t>
      </w:r>
      <w:r w:rsidR="002514B0">
        <w:t xml:space="preserve"> </w:t>
      </w:r>
      <w:r w:rsidRPr="003C7F6D">
        <w:t>mostly</w:t>
      </w:r>
      <w:r w:rsidR="002514B0">
        <w:t xml:space="preserve"> </w:t>
      </w:r>
      <w:r w:rsidRPr="003C7F6D">
        <w:t>shielded</w:t>
      </w:r>
      <w:r w:rsidR="002514B0">
        <w:t xml:space="preserve"> </w:t>
      </w:r>
      <w:r w:rsidRPr="003C7F6D">
        <w:t>from</w:t>
      </w:r>
      <w:r w:rsidR="002514B0">
        <w:t xml:space="preserve"> </w:t>
      </w:r>
      <w:r w:rsidRPr="003C7F6D">
        <w:t>adverse</w:t>
      </w:r>
      <w:r w:rsidR="002514B0">
        <w:t xml:space="preserve"> </w:t>
      </w:r>
      <w:r w:rsidRPr="003C7F6D">
        <w:t>FRP</w:t>
      </w:r>
      <w:r w:rsidR="002514B0">
        <w:t xml:space="preserve"> </w:t>
      </w:r>
      <w:r w:rsidRPr="003C7F6D">
        <w:t>effects.</w:t>
      </w:r>
      <w:r w:rsidR="002514B0">
        <w:t xml:space="preserve"> </w:t>
      </w:r>
    </w:p>
    <w:p w14:paraId="3AACCC91" w14:textId="6D6D1504" w:rsidR="00064848" w:rsidRPr="003C7F6D" w:rsidRDefault="00064848" w:rsidP="00064848">
      <w:pPr>
        <w:pStyle w:val="BodyText"/>
      </w:pPr>
      <w:r w:rsidRPr="003C7F6D">
        <w:t>However,</w:t>
      </w:r>
      <w:r w:rsidR="002514B0">
        <w:t xml:space="preserve"> </w:t>
      </w:r>
      <w:r w:rsidRPr="003C7F6D">
        <w:t>CLEP</w:t>
      </w:r>
      <w:r w:rsidR="002514B0">
        <w:t xml:space="preserve"> </w:t>
      </w:r>
      <w:r w:rsidRPr="003C7F6D">
        <w:t>aggravates</w:t>
      </w:r>
      <w:r w:rsidR="002514B0">
        <w:t xml:space="preserve"> </w:t>
      </w:r>
      <w:r w:rsidRPr="003C7F6D">
        <w:t>the</w:t>
      </w:r>
      <w:r w:rsidR="002514B0">
        <w:t xml:space="preserve"> </w:t>
      </w:r>
      <w:r w:rsidRPr="003C7F6D">
        <w:t>whole</w:t>
      </w:r>
      <w:r w:rsidR="002514B0">
        <w:t xml:space="preserve"> </w:t>
      </w:r>
      <w:r w:rsidRPr="003C7F6D">
        <w:t>notion</w:t>
      </w:r>
      <w:r w:rsidR="002514B0">
        <w:t xml:space="preserve"> </w:t>
      </w:r>
      <w:r w:rsidRPr="003C7F6D">
        <w:t>of</w:t>
      </w:r>
      <w:r w:rsidR="002514B0">
        <w:t xml:space="preserve"> </w:t>
      </w:r>
      <w:r w:rsidRPr="003C7F6D">
        <w:t>an</w:t>
      </w:r>
      <w:r w:rsidR="002514B0">
        <w:t xml:space="preserve"> </w:t>
      </w:r>
      <w:r w:rsidRPr="003C7F6D">
        <w:t>FRP</w:t>
      </w:r>
      <w:r w:rsidR="002514B0">
        <w:t xml:space="preserve"> </w:t>
      </w:r>
      <w:r w:rsidRPr="003C7F6D">
        <w:t>because</w:t>
      </w:r>
      <w:r w:rsidR="002514B0">
        <w:t xml:space="preserve"> </w:t>
      </w:r>
      <w:r w:rsidRPr="003C7F6D">
        <w:t>CLEP</w:t>
      </w:r>
      <w:r w:rsidR="002514B0">
        <w:t xml:space="preserve"> </w:t>
      </w:r>
      <w:r w:rsidRPr="003C7F6D">
        <w:t>will</w:t>
      </w:r>
      <w:r w:rsidR="002514B0">
        <w:t xml:space="preserve"> </w:t>
      </w:r>
      <w:r w:rsidRPr="003C7F6D">
        <w:t>“by</w:t>
      </w:r>
      <w:r w:rsidR="002514B0">
        <w:t xml:space="preserve"> </w:t>
      </w:r>
      <w:r w:rsidRPr="003C7F6D">
        <w:t>design”</w:t>
      </w:r>
      <w:r w:rsidR="002514B0">
        <w:t xml:space="preserve"> </w:t>
      </w:r>
      <w:r w:rsidRPr="003C7F6D">
        <w:t>substantially</w:t>
      </w:r>
      <w:r w:rsidR="002514B0">
        <w:t xml:space="preserve"> </w:t>
      </w:r>
      <w:r w:rsidRPr="003C7F6D">
        <w:t>reshuffle</w:t>
      </w:r>
      <w:r w:rsidR="002514B0">
        <w:t xml:space="preserve"> </w:t>
      </w:r>
      <w:r w:rsidRPr="003C7F6D">
        <w:t>costs</w:t>
      </w:r>
      <w:r w:rsidR="002514B0">
        <w:t xml:space="preserve"> </w:t>
      </w:r>
      <w:r w:rsidRPr="003C7F6D">
        <w:t>driven</w:t>
      </w:r>
      <w:r w:rsidR="002514B0">
        <w:t xml:space="preserve"> </w:t>
      </w:r>
      <w:r w:rsidRPr="003C7F6D">
        <w:t>by</w:t>
      </w:r>
      <w:r w:rsidR="002514B0">
        <w:t xml:space="preserve"> </w:t>
      </w:r>
      <w:r w:rsidRPr="003C7F6D">
        <w:t>a</w:t>
      </w:r>
      <w:r w:rsidR="002514B0">
        <w:t xml:space="preserve"> </w:t>
      </w:r>
      <w:r w:rsidRPr="003C7F6D">
        <w:t>rapidly</w:t>
      </w:r>
      <w:r w:rsidR="002514B0">
        <w:t xml:space="preserve"> </w:t>
      </w:r>
      <w:r w:rsidRPr="003C7F6D">
        <w:t>changing</w:t>
      </w:r>
      <w:r w:rsidR="002514B0">
        <w:t xml:space="preserve"> </w:t>
      </w:r>
      <w:r w:rsidRPr="003C7F6D">
        <w:t>12-point</w:t>
      </w:r>
      <w:r w:rsidR="002514B0">
        <w:t xml:space="preserve"> </w:t>
      </w:r>
      <w:r w:rsidRPr="003C7F6D">
        <w:t>CD</w:t>
      </w:r>
      <w:r w:rsidR="002514B0">
        <w:t xml:space="preserve"> </w:t>
      </w:r>
      <w:r w:rsidRPr="003C7F6D">
        <w:t>result.</w:t>
      </w:r>
    </w:p>
    <w:p w14:paraId="1230BA8F" w14:textId="77777777" w:rsidR="00064848" w:rsidRPr="003C7F6D" w:rsidRDefault="00064848" w:rsidP="00064848">
      <w:pPr>
        <w:pStyle w:val="BodyText"/>
      </w:pPr>
    </w:p>
    <w:p w14:paraId="7271B84B" w14:textId="77777777" w:rsidR="00064848" w:rsidRPr="003C7F6D" w:rsidRDefault="00064848" w:rsidP="00064848">
      <w:pPr>
        <w:rPr>
          <w:sz w:val="24"/>
          <w:szCs w:val="24"/>
        </w:rPr>
      </w:pPr>
      <w:r w:rsidRPr="003C7F6D">
        <w:br w:type="page"/>
      </w:r>
    </w:p>
    <w:p w14:paraId="6D0D56C5" w14:textId="2BD799A6" w:rsidR="000C204F" w:rsidRDefault="00555AFF" w:rsidP="008C565B">
      <w:pPr>
        <w:pStyle w:val="Heading1"/>
      </w:pPr>
      <w:bookmarkStart w:id="93" w:name="_Toc16317740"/>
      <w:r>
        <w:lastRenderedPageBreak/>
        <w:t>CLOSING STATEMENT</w:t>
      </w:r>
      <w:bookmarkEnd w:id="47"/>
      <w:bookmarkEnd w:id="93"/>
    </w:p>
    <w:p w14:paraId="22EEB4B6" w14:textId="3B58F2F4" w:rsidR="006F170E" w:rsidRDefault="00371BEF" w:rsidP="0042506D">
      <w:pPr>
        <w:pStyle w:val="BodyText"/>
      </w:pPr>
      <w:r>
        <w:t xml:space="preserve">The </w:t>
      </w:r>
      <w:r w:rsidR="008F0083">
        <w:t>Initial Post Hearing Brief</w:t>
      </w:r>
      <w:r w:rsidR="0042506D">
        <w:t>s</w:t>
      </w:r>
      <w:r>
        <w:t xml:space="preserve"> of ENO and the Advisors</w:t>
      </w:r>
      <w:r w:rsidR="0042506D">
        <w:t xml:space="preserve"> </w:t>
      </w:r>
      <w:r w:rsidR="00D90FA8">
        <w:t>are</w:t>
      </w:r>
      <w:r w:rsidR="0042506D">
        <w:t xml:space="preserve"> laden with errors of fact. ENO is still comparing CLEP’s 2016 definition to ENO</w:t>
      </w:r>
      <w:r w:rsidR="00D90FA8">
        <w:t>’</w:t>
      </w:r>
      <w:r w:rsidR="0042506D">
        <w:t xml:space="preserve">s state of affairs in 2016—without any recognition that both have changed. Although the Advisors </w:t>
      </w:r>
      <w:r w:rsidR="002249CD">
        <w:t xml:space="preserve">do </w:t>
      </w:r>
      <w:r w:rsidR="0042506D">
        <w:t xml:space="preserve">not make that error, they do make a litany of errors. </w:t>
      </w:r>
      <w:r w:rsidR="00EE3444">
        <w:t xml:space="preserve"> </w:t>
      </w:r>
      <w:r w:rsidR="00C1796D">
        <w:t xml:space="preserve">For example, the </w:t>
      </w:r>
      <w:r w:rsidR="0042506D">
        <w:t>Advisors fail to fully understand</w:t>
      </w:r>
      <w:r w:rsidR="00264ABB">
        <w:t xml:space="preserve"> that</w:t>
      </w:r>
      <w:r w:rsidR="0042506D">
        <w:t xml:space="preserve"> CLEP’s definition of Community Solar</w:t>
      </w:r>
      <w:r w:rsidR="00264ABB">
        <w:t xml:space="preserve"> exceeds the Council’s approved way to pay ratepayers for their participation</w:t>
      </w:r>
      <w:r w:rsidR="00F278E0">
        <w:t>.</w:t>
      </w:r>
      <w:r w:rsidR="0042506D">
        <w:t xml:space="preserve"> </w:t>
      </w:r>
      <w:r w:rsidR="00EB0A80">
        <w:t>In a</w:t>
      </w:r>
      <w:r w:rsidR="00F278E0">
        <w:t xml:space="preserve">dditional, the Advisors assert, </w:t>
      </w:r>
      <w:r w:rsidR="0042506D">
        <w:t>without evidence</w:t>
      </w:r>
      <w:r w:rsidR="00F278E0">
        <w:t>,</w:t>
      </w:r>
      <w:r w:rsidR="0042506D">
        <w:t xml:space="preserve"> that CLEP imposes costs onto other customers</w:t>
      </w:r>
      <w:r w:rsidR="00D80F33">
        <w:t>. There are other instances mentioned in this brief</w:t>
      </w:r>
      <w:r w:rsidR="0042506D">
        <w:t xml:space="preserve">. </w:t>
      </w:r>
      <w:r w:rsidR="00EE3444">
        <w:t>T</w:t>
      </w:r>
      <w:r w:rsidR="00264ABB">
        <w:t>he Advisor</w:t>
      </w:r>
      <w:r w:rsidR="000632E3">
        <w:t>s’</w:t>
      </w:r>
      <w:r w:rsidR="00264ABB">
        <w:t xml:space="preserve"> objections </w:t>
      </w:r>
      <w:r w:rsidR="0042506D">
        <w:t xml:space="preserve">are unwarranted and unsubstantiated. </w:t>
      </w:r>
    </w:p>
    <w:p w14:paraId="08C9EB2C" w14:textId="5A626A3D" w:rsidR="00E52C8A" w:rsidRDefault="00376FCF" w:rsidP="008C565B">
      <w:pPr>
        <w:pStyle w:val="BodyText"/>
      </w:pPr>
      <w:r>
        <w:t>Although</w:t>
      </w:r>
      <w:r w:rsidR="002514B0">
        <w:t xml:space="preserve"> </w:t>
      </w:r>
      <w:r w:rsidR="000C204F">
        <w:t>BSI</w:t>
      </w:r>
      <w:r w:rsidR="002514B0">
        <w:t xml:space="preserve"> </w:t>
      </w:r>
      <w:r>
        <w:t>provides</w:t>
      </w:r>
      <w:r w:rsidR="002514B0">
        <w:t xml:space="preserve"> </w:t>
      </w:r>
      <w:r>
        <w:t>some</w:t>
      </w:r>
      <w:r w:rsidR="002514B0">
        <w:t xml:space="preserve"> </w:t>
      </w:r>
      <w:r>
        <w:t>professional</w:t>
      </w:r>
      <w:r w:rsidR="002514B0">
        <w:t xml:space="preserve"> </w:t>
      </w:r>
      <w:r>
        <w:t>services</w:t>
      </w:r>
      <w:r w:rsidR="002514B0">
        <w:t xml:space="preserve"> </w:t>
      </w:r>
      <w:r>
        <w:t>for</w:t>
      </w:r>
      <w:r w:rsidR="002514B0">
        <w:t xml:space="preserve"> </w:t>
      </w:r>
      <w:r>
        <w:t>a</w:t>
      </w:r>
      <w:r w:rsidR="002514B0">
        <w:t xml:space="preserve"> </w:t>
      </w:r>
      <w:r>
        <w:t>profit,</w:t>
      </w:r>
      <w:r w:rsidR="002514B0">
        <w:t xml:space="preserve"> </w:t>
      </w:r>
      <w:r>
        <w:t>BSI</w:t>
      </w:r>
      <w:r w:rsidR="002514B0">
        <w:t xml:space="preserve"> </w:t>
      </w:r>
      <w:r>
        <w:t>has</w:t>
      </w:r>
      <w:r w:rsidR="003B1787">
        <w:t>,</w:t>
      </w:r>
      <w:r w:rsidR="002514B0">
        <w:t xml:space="preserve"> </w:t>
      </w:r>
      <w:r w:rsidRPr="006F057A">
        <w:t>by</w:t>
      </w:r>
      <w:r w:rsidR="002514B0" w:rsidRPr="006F057A">
        <w:t xml:space="preserve"> </w:t>
      </w:r>
      <w:r w:rsidRPr="006F057A">
        <w:t>and</w:t>
      </w:r>
      <w:r w:rsidR="002514B0" w:rsidRPr="006F057A">
        <w:t xml:space="preserve"> </w:t>
      </w:r>
      <w:r w:rsidRPr="006F057A">
        <w:t>large</w:t>
      </w:r>
      <w:r w:rsidR="0042506D" w:rsidRPr="006F057A">
        <w:rPr>
          <w:i/>
          <w:iCs/>
        </w:rPr>
        <w:t>,</w:t>
      </w:r>
      <w:r w:rsidR="002514B0">
        <w:t xml:space="preserve"> </w:t>
      </w:r>
      <w:r>
        <w:t>operated</w:t>
      </w:r>
      <w:r w:rsidR="002514B0">
        <w:t xml:space="preserve"> </w:t>
      </w:r>
      <w:r>
        <w:t>as</w:t>
      </w:r>
      <w:r w:rsidR="002514B0">
        <w:t xml:space="preserve"> </w:t>
      </w:r>
      <w:r>
        <w:t>if</w:t>
      </w:r>
      <w:r w:rsidR="002514B0">
        <w:t xml:space="preserve"> </w:t>
      </w:r>
      <w:r>
        <w:t>it</w:t>
      </w:r>
      <w:r w:rsidR="002514B0">
        <w:t xml:space="preserve"> </w:t>
      </w:r>
      <w:r>
        <w:t>were</w:t>
      </w:r>
      <w:r w:rsidR="002514B0">
        <w:t xml:space="preserve"> </w:t>
      </w:r>
      <w:r>
        <w:t>a</w:t>
      </w:r>
      <w:r w:rsidR="002514B0">
        <w:t xml:space="preserve"> </w:t>
      </w:r>
      <w:r>
        <w:t>non-for-profit</w:t>
      </w:r>
      <w:r w:rsidR="00E52C8A">
        <w:t>,</w:t>
      </w:r>
      <w:r w:rsidR="002514B0">
        <w:t xml:space="preserve"> </w:t>
      </w:r>
      <w:r>
        <w:t>public</w:t>
      </w:r>
      <w:r w:rsidR="00E52C8A">
        <w:t>-</w:t>
      </w:r>
      <w:r>
        <w:t>interest</w:t>
      </w:r>
      <w:r w:rsidR="002514B0">
        <w:t xml:space="preserve"> </w:t>
      </w:r>
      <w:r>
        <w:t>corporation</w:t>
      </w:r>
      <w:r w:rsidR="002514B0">
        <w:t xml:space="preserve"> </w:t>
      </w:r>
      <w:r>
        <w:t>and</w:t>
      </w:r>
      <w:r w:rsidR="002514B0">
        <w:t xml:space="preserve"> </w:t>
      </w:r>
      <w:r w:rsidR="000C204F">
        <w:t>has</w:t>
      </w:r>
      <w:r w:rsidR="002514B0">
        <w:t xml:space="preserve"> </w:t>
      </w:r>
      <w:r>
        <w:t>often</w:t>
      </w:r>
      <w:r w:rsidR="002514B0">
        <w:t xml:space="preserve"> </w:t>
      </w:r>
      <w:r w:rsidR="000C204F">
        <w:t>been</w:t>
      </w:r>
      <w:r w:rsidR="002514B0">
        <w:t xml:space="preserve"> </w:t>
      </w:r>
      <w:r>
        <w:t>recognized</w:t>
      </w:r>
      <w:r w:rsidR="002514B0">
        <w:t xml:space="preserve"> </w:t>
      </w:r>
      <w:r w:rsidR="00E52C8A">
        <w:t>for</w:t>
      </w:r>
      <w:r w:rsidR="002514B0">
        <w:t xml:space="preserve"> </w:t>
      </w:r>
      <w:r>
        <w:t>and</w:t>
      </w:r>
      <w:r w:rsidR="002514B0">
        <w:t xml:space="preserve"> </w:t>
      </w:r>
      <w:r>
        <w:t>chosen</w:t>
      </w:r>
      <w:r w:rsidR="002514B0">
        <w:t xml:space="preserve"> </w:t>
      </w:r>
      <w:r>
        <w:t>by</w:t>
      </w:r>
      <w:r w:rsidR="002514B0">
        <w:t xml:space="preserve"> </w:t>
      </w:r>
      <w:r w:rsidR="000C204F">
        <w:t>the</w:t>
      </w:r>
      <w:r w:rsidR="002514B0">
        <w:t xml:space="preserve"> </w:t>
      </w:r>
      <w:r w:rsidR="000C204F">
        <w:t>Council</w:t>
      </w:r>
      <w:r w:rsidR="0042506D">
        <w:t xml:space="preserve"> to provide community services</w:t>
      </w:r>
      <w:r w:rsidR="0042506D">
        <w:rPr>
          <w:rStyle w:val="FootnoteReference"/>
        </w:rPr>
        <w:footnoteReference w:id="42"/>
      </w:r>
      <w:r w:rsidR="002514B0">
        <w:t xml:space="preserve"> </w:t>
      </w:r>
      <w:r>
        <w:t>since</w:t>
      </w:r>
      <w:r w:rsidR="002514B0">
        <w:t xml:space="preserve"> </w:t>
      </w:r>
      <w:r>
        <w:t>before</w:t>
      </w:r>
      <w:r w:rsidR="002514B0">
        <w:t xml:space="preserve"> </w:t>
      </w:r>
      <w:r>
        <w:t>Hurricane</w:t>
      </w:r>
      <w:r w:rsidR="002514B0">
        <w:t xml:space="preserve"> </w:t>
      </w:r>
      <w:r>
        <w:t>Katrina</w:t>
      </w:r>
      <w:r w:rsidR="00F278E0">
        <w:t>.</w:t>
      </w:r>
      <w:r w:rsidR="002514B0">
        <w:t xml:space="preserve"> </w:t>
      </w:r>
      <w:r w:rsidR="00F278E0">
        <w:t xml:space="preserve">Each time, </w:t>
      </w:r>
      <w:r w:rsidR="00E52C8A">
        <w:t>BSI</w:t>
      </w:r>
      <w:r w:rsidR="002514B0">
        <w:t xml:space="preserve"> </w:t>
      </w:r>
      <w:r w:rsidR="00E52C8A">
        <w:t>has</w:t>
      </w:r>
      <w:r w:rsidR="002514B0">
        <w:t xml:space="preserve"> </w:t>
      </w:r>
      <w:r w:rsidR="000C204F">
        <w:t>advocat</w:t>
      </w:r>
      <w:r w:rsidR="00FF750D">
        <w:t>ed</w:t>
      </w:r>
      <w:r w:rsidR="002514B0">
        <w:t xml:space="preserve"> </w:t>
      </w:r>
      <w:r w:rsidR="000C204F">
        <w:t>for</w:t>
      </w:r>
      <w:r w:rsidR="002514B0">
        <w:t xml:space="preserve"> </w:t>
      </w:r>
      <w:r w:rsidR="000C204F">
        <w:t>the</w:t>
      </w:r>
      <w:r w:rsidR="002514B0">
        <w:t xml:space="preserve"> </w:t>
      </w:r>
      <w:r w:rsidR="000C204F">
        <w:t>City</w:t>
      </w:r>
      <w:r w:rsidR="002514B0">
        <w:t xml:space="preserve"> </w:t>
      </w:r>
      <w:r w:rsidR="000C204F">
        <w:t>to</w:t>
      </w:r>
      <w:r w:rsidR="002514B0">
        <w:t xml:space="preserve"> </w:t>
      </w:r>
      <w:r w:rsidR="000C204F">
        <w:t>become</w:t>
      </w:r>
      <w:r w:rsidR="002514B0">
        <w:t xml:space="preserve"> </w:t>
      </w:r>
      <w:r w:rsidR="000C204F">
        <w:t>a</w:t>
      </w:r>
      <w:r w:rsidR="002514B0">
        <w:t xml:space="preserve"> </w:t>
      </w:r>
      <w:r w:rsidR="000C204F">
        <w:t>more</w:t>
      </w:r>
      <w:r w:rsidR="002514B0">
        <w:t xml:space="preserve"> </w:t>
      </w:r>
      <w:r w:rsidR="000C204F">
        <w:t>progressive</w:t>
      </w:r>
      <w:r w:rsidR="002514B0">
        <w:t xml:space="preserve"> </w:t>
      </w:r>
      <w:r w:rsidR="000C204F">
        <w:t>community</w:t>
      </w:r>
      <w:r w:rsidR="002514B0">
        <w:t xml:space="preserve"> </w:t>
      </w:r>
      <w:r w:rsidR="00FF750D">
        <w:t>with</w:t>
      </w:r>
      <w:r w:rsidR="002514B0">
        <w:t xml:space="preserve"> </w:t>
      </w:r>
      <w:r w:rsidR="00FF750D">
        <w:t>respect</w:t>
      </w:r>
      <w:r w:rsidR="002514B0">
        <w:t xml:space="preserve"> </w:t>
      </w:r>
      <w:r w:rsidR="00FF750D">
        <w:t>to</w:t>
      </w:r>
      <w:r w:rsidR="002514B0">
        <w:t xml:space="preserve"> </w:t>
      </w:r>
      <w:r w:rsidR="00FF750D">
        <w:t>a</w:t>
      </w:r>
      <w:r w:rsidR="002514B0">
        <w:t xml:space="preserve"> </w:t>
      </w:r>
      <w:r w:rsidR="00FF750D">
        <w:t>wide</w:t>
      </w:r>
      <w:r w:rsidR="002514B0">
        <w:t xml:space="preserve"> </w:t>
      </w:r>
      <w:r w:rsidR="00FF750D">
        <w:t>range</w:t>
      </w:r>
      <w:r w:rsidR="002514B0">
        <w:t xml:space="preserve"> </w:t>
      </w:r>
      <w:r w:rsidR="00FF750D">
        <w:t>of</w:t>
      </w:r>
      <w:r w:rsidR="002514B0">
        <w:t xml:space="preserve"> </w:t>
      </w:r>
      <w:r w:rsidR="00FF750D">
        <w:t>energy</w:t>
      </w:r>
      <w:r w:rsidR="002514B0">
        <w:t xml:space="preserve"> </w:t>
      </w:r>
      <w:r w:rsidR="00FF750D">
        <w:t>issues</w:t>
      </w:r>
      <w:r w:rsidR="000C204F">
        <w:t>.</w:t>
      </w:r>
      <w:r w:rsidR="002514B0">
        <w:t xml:space="preserve"> </w:t>
      </w:r>
    </w:p>
    <w:p w14:paraId="605A6B24" w14:textId="118BEC09" w:rsidR="00E52C8A" w:rsidRDefault="00E52C8A" w:rsidP="00E52C8A">
      <w:pPr>
        <w:pStyle w:val="BodyText"/>
      </w:pPr>
      <w:r>
        <w:t>Since</w:t>
      </w:r>
      <w:r w:rsidR="002514B0">
        <w:t xml:space="preserve"> </w:t>
      </w:r>
      <w:r>
        <w:t>Katrina,</w:t>
      </w:r>
      <w:r w:rsidR="002514B0">
        <w:t xml:space="preserve"> </w:t>
      </w:r>
      <w:r w:rsidR="000C204F">
        <w:t>New</w:t>
      </w:r>
      <w:r w:rsidR="002514B0">
        <w:t xml:space="preserve"> </w:t>
      </w:r>
      <w:r w:rsidR="000C204F">
        <w:t>Orleans</w:t>
      </w:r>
      <w:r w:rsidR="002514B0">
        <w:t xml:space="preserve"> </w:t>
      </w:r>
      <w:r w:rsidR="000C204F">
        <w:t>is</w:t>
      </w:r>
      <w:r w:rsidR="002514B0">
        <w:t xml:space="preserve"> </w:t>
      </w:r>
      <w:r w:rsidR="000C204F">
        <w:t>transforming</w:t>
      </w:r>
      <w:r w:rsidR="002514B0">
        <w:t xml:space="preserve"> </w:t>
      </w:r>
      <w:r w:rsidR="000C204F">
        <w:t>thr</w:t>
      </w:r>
      <w:r w:rsidR="00376FCF">
        <w:t>o</w:t>
      </w:r>
      <w:r w:rsidR="000C204F">
        <w:t>u</w:t>
      </w:r>
      <w:r w:rsidR="00376FCF">
        <w:t>gh</w:t>
      </w:r>
      <w:r w:rsidR="002514B0">
        <w:t xml:space="preserve"> </w:t>
      </w:r>
      <w:r w:rsidR="000C204F">
        <w:t>the</w:t>
      </w:r>
      <w:r w:rsidR="002514B0">
        <w:t xml:space="preserve"> </w:t>
      </w:r>
      <w:r w:rsidR="000C204F">
        <w:t>medical</w:t>
      </w:r>
      <w:r w:rsidR="002514B0">
        <w:t xml:space="preserve"> </w:t>
      </w:r>
      <w:r w:rsidR="000C204F">
        <w:t>corridor</w:t>
      </w:r>
      <w:r w:rsidR="002514B0">
        <w:t xml:space="preserve"> </w:t>
      </w:r>
      <w:r w:rsidR="000C204F">
        <w:t>and</w:t>
      </w:r>
      <w:r w:rsidR="001C3032">
        <w:t xml:space="preserve"> realized a</w:t>
      </w:r>
      <w:r w:rsidR="002514B0">
        <w:t xml:space="preserve"> </w:t>
      </w:r>
      <w:r w:rsidR="000C204F">
        <w:t>substantial</w:t>
      </w:r>
      <w:r w:rsidR="002514B0">
        <w:t xml:space="preserve"> </w:t>
      </w:r>
      <w:r w:rsidR="000C204F">
        <w:t>increase</w:t>
      </w:r>
      <w:r w:rsidR="002514B0">
        <w:t xml:space="preserve"> </w:t>
      </w:r>
      <w:r w:rsidR="000C204F">
        <w:t>in</w:t>
      </w:r>
      <w:r w:rsidR="002514B0">
        <w:t xml:space="preserve"> </w:t>
      </w:r>
      <w:r w:rsidR="001C3032">
        <w:t>residents</w:t>
      </w:r>
      <w:r w:rsidR="002514B0">
        <w:t xml:space="preserve"> </w:t>
      </w:r>
      <w:r w:rsidR="000C204F">
        <w:t>moving</w:t>
      </w:r>
      <w:r w:rsidR="002514B0">
        <w:t xml:space="preserve"> </w:t>
      </w:r>
      <w:r w:rsidR="000C204F">
        <w:t>back</w:t>
      </w:r>
      <w:r w:rsidR="002514B0">
        <w:t xml:space="preserve"> </w:t>
      </w:r>
      <w:r w:rsidR="000C204F">
        <w:t>into</w:t>
      </w:r>
      <w:r w:rsidR="002514B0">
        <w:t xml:space="preserve"> </w:t>
      </w:r>
      <w:r w:rsidR="000C204F">
        <w:t>the</w:t>
      </w:r>
      <w:r w:rsidR="002514B0">
        <w:t xml:space="preserve"> </w:t>
      </w:r>
      <w:r w:rsidR="000C204F">
        <w:t>city,</w:t>
      </w:r>
      <w:r w:rsidR="002514B0">
        <w:t xml:space="preserve"> </w:t>
      </w:r>
      <w:r w:rsidR="000C204F">
        <w:t>warehouse</w:t>
      </w:r>
      <w:r w:rsidR="002514B0">
        <w:t xml:space="preserve"> </w:t>
      </w:r>
      <w:r w:rsidR="000C204F">
        <w:t>district,</w:t>
      </w:r>
      <w:r w:rsidR="002514B0">
        <w:t xml:space="preserve"> </w:t>
      </w:r>
      <w:r w:rsidR="000C204F">
        <w:t>and</w:t>
      </w:r>
      <w:r w:rsidR="002514B0">
        <w:t xml:space="preserve"> </w:t>
      </w:r>
      <w:r w:rsidR="000C204F">
        <w:t>inner</w:t>
      </w:r>
      <w:r w:rsidR="002514B0">
        <w:t xml:space="preserve"> </w:t>
      </w:r>
      <w:r w:rsidR="000C204F">
        <w:t>city.</w:t>
      </w:r>
      <w:r w:rsidR="002514B0">
        <w:t xml:space="preserve"> </w:t>
      </w:r>
      <w:r w:rsidR="000C204F">
        <w:t>These</w:t>
      </w:r>
      <w:r w:rsidR="002514B0">
        <w:t xml:space="preserve"> </w:t>
      </w:r>
      <w:r w:rsidR="000C204F">
        <w:t>kinds</w:t>
      </w:r>
      <w:r w:rsidR="002514B0">
        <w:t xml:space="preserve"> </w:t>
      </w:r>
      <w:r w:rsidR="000C204F">
        <w:t>of</w:t>
      </w:r>
      <w:r w:rsidR="002514B0">
        <w:t xml:space="preserve"> </w:t>
      </w:r>
      <w:r w:rsidR="000C204F">
        <w:t>shifts</w:t>
      </w:r>
      <w:r w:rsidR="002514B0">
        <w:t xml:space="preserve"> </w:t>
      </w:r>
      <w:r w:rsidR="000C204F">
        <w:t>create</w:t>
      </w:r>
      <w:r w:rsidR="002514B0">
        <w:t xml:space="preserve"> </w:t>
      </w:r>
      <w:r w:rsidR="000C204F">
        <w:t>new</w:t>
      </w:r>
      <w:r w:rsidR="002514B0">
        <w:t xml:space="preserve"> </w:t>
      </w:r>
      <w:r w:rsidR="000C204F">
        <w:t>demands</w:t>
      </w:r>
      <w:r w:rsidR="002514B0">
        <w:t xml:space="preserve"> </w:t>
      </w:r>
      <w:r w:rsidR="000C204F">
        <w:t>on</w:t>
      </w:r>
      <w:r w:rsidR="002514B0">
        <w:t xml:space="preserve"> </w:t>
      </w:r>
      <w:r w:rsidR="000C204F">
        <w:t>the</w:t>
      </w:r>
      <w:r w:rsidR="002514B0">
        <w:t xml:space="preserve"> </w:t>
      </w:r>
      <w:r w:rsidR="000C204F">
        <w:t>electrical</w:t>
      </w:r>
      <w:r w:rsidR="002514B0">
        <w:t xml:space="preserve"> </w:t>
      </w:r>
      <w:r w:rsidR="000C204F">
        <w:t>infrastructure</w:t>
      </w:r>
      <w:r w:rsidR="002514B0">
        <w:t xml:space="preserve"> </w:t>
      </w:r>
      <w:r w:rsidR="000C204F">
        <w:t>and</w:t>
      </w:r>
      <w:r w:rsidR="002514B0">
        <w:t xml:space="preserve"> </w:t>
      </w:r>
      <w:r w:rsidR="000C204F">
        <w:t>are</w:t>
      </w:r>
      <w:r w:rsidR="002514B0">
        <w:t xml:space="preserve"> </w:t>
      </w:r>
      <w:r w:rsidR="000C204F">
        <w:t>opportunities</w:t>
      </w:r>
      <w:r w:rsidR="002514B0">
        <w:t xml:space="preserve"> </w:t>
      </w:r>
      <w:r w:rsidR="000C204F">
        <w:t>for</w:t>
      </w:r>
      <w:r w:rsidR="002514B0">
        <w:t xml:space="preserve"> </w:t>
      </w:r>
      <w:r w:rsidR="000C204F">
        <w:t>the</w:t>
      </w:r>
      <w:r w:rsidR="002514B0">
        <w:t xml:space="preserve"> </w:t>
      </w:r>
      <w:r w:rsidR="000C204F">
        <w:t>utility</w:t>
      </w:r>
      <w:r w:rsidR="002514B0">
        <w:t xml:space="preserve"> </w:t>
      </w:r>
      <w:r w:rsidR="000C204F">
        <w:t>to</w:t>
      </w:r>
      <w:r w:rsidR="002514B0">
        <w:t xml:space="preserve"> </w:t>
      </w:r>
      <w:r w:rsidR="000C204F">
        <w:t>participate</w:t>
      </w:r>
      <w:r w:rsidR="002514B0">
        <w:t xml:space="preserve"> </w:t>
      </w:r>
      <w:r w:rsidR="000C204F">
        <w:t>in</w:t>
      </w:r>
      <w:r w:rsidR="002514B0">
        <w:t xml:space="preserve"> </w:t>
      </w:r>
      <w:r w:rsidR="000C204F">
        <w:t>the</w:t>
      </w:r>
      <w:r w:rsidR="002514B0">
        <w:t xml:space="preserve"> </w:t>
      </w:r>
      <w:r w:rsidR="000C204F">
        <w:t>development</w:t>
      </w:r>
      <w:r w:rsidR="002514B0">
        <w:t xml:space="preserve"> </w:t>
      </w:r>
      <w:r w:rsidR="000C204F">
        <w:t>of</w:t>
      </w:r>
      <w:r w:rsidR="002514B0">
        <w:t xml:space="preserve"> </w:t>
      </w:r>
      <w:r w:rsidR="000C204F">
        <w:t>microgrids</w:t>
      </w:r>
      <w:r w:rsidR="002514B0">
        <w:t xml:space="preserve"> </w:t>
      </w:r>
      <w:r w:rsidR="000C204F">
        <w:t>and</w:t>
      </w:r>
      <w:r w:rsidR="002514B0">
        <w:t xml:space="preserve"> </w:t>
      </w:r>
      <w:r w:rsidR="000C204F">
        <w:t>a</w:t>
      </w:r>
      <w:r w:rsidR="002514B0">
        <w:t xml:space="preserve"> </w:t>
      </w:r>
      <w:r w:rsidR="000C204F">
        <w:t>more</w:t>
      </w:r>
      <w:r w:rsidR="002514B0">
        <w:t xml:space="preserve"> </w:t>
      </w:r>
      <w:r w:rsidR="000C204F">
        <w:t>reliable</w:t>
      </w:r>
      <w:r w:rsidR="002514B0">
        <w:t xml:space="preserve"> </w:t>
      </w:r>
      <w:r w:rsidR="000C204F">
        <w:t>infrastructure.</w:t>
      </w:r>
      <w:r w:rsidR="002514B0">
        <w:t xml:space="preserve"> </w:t>
      </w:r>
    </w:p>
    <w:p w14:paraId="6A57AEAC" w14:textId="0A3F7560" w:rsidR="000C204F" w:rsidRDefault="000C204F" w:rsidP="0054595A">
      <w:pPr>
        <w:pStyle w:val="BodyText"/>
      </w:pPr>
      <w:r>
        <w:t>This</w:t>
      </w:r>
      <w:r w:rsidR="002514B0">
        <w:t xml:space="preserve"> </w:t>
      </w:r>
      <w:r>
        <w:t>can</w:t>
      </w:r>
      <w:r w:rsidR="002514B0">
        <w:t xml:space="preserve"> </w:t>
      </w:r>
      <w:r>
        <w:t>be</w:t>
      </w:r>
      <w:r w:rsidR="002514B0">
        <w:t xml:space="preserve"> </w:t>
      </w:r>
      <w:r>
        <w:t>most</w:t>
      </w:r>
      <w:r w:rsidR="002514B0">
        <w:t xml:space="preserve"> </w:t>
      </w:r>
      <w:r w:rsidR="00E52C8A">
        <w:t>cost-effectively</w:t>
      </w:r>
      <w:r w:rsidR="002514B0">
        <w:t xml:space="preserve"> </w:t>
      </w:r>
      <w:r w:rsidR="00E52C8A">
        <w:t>and</w:t>
      </w:r>
      <w:r w:rsidR="002514B0">
        <w:t xml:space="preserve"> </w:t>
      </w:r>
      <w:r w:rsidR="00E52C8A">
        <w:t>rapidly</w:t>
      </w:r>
      <w:r w:rsidR="002514B0">
        <w:t xml:space="preserve"> </w:t>
      </w:r>
      <w:r>
        <w:t>accomplished</w:t>
      </w:r>
      <w:r w:rsidR="002514B0">
        <w:t xml:space="preserve"> </w:t>
      </w:r>
      <w:r>
        <w:t>thr</w:t>
      </w:r>
      <w:r w:rsidR="00E52C8A">
        <w:t>o</w:t>
      </w:r>
      <w:r>
        <w:t>u</w:t>
      </w:r>
      <w:r w:rsidR="00E52C8A">
        <w:t>gh</w:t>
      </w:r>
      <w:r w:rsidR="002514B0">
        <w:t xml:space="preserve"> </w:t>
      </w:r>
      <w:r>
        <w:t>CLEP.</w:t>
      </w:r>
      <w:r w:rsidR="002514B0">
        <w:t xml:space="preserve"> </w:t>
      </w:r>
      <w:r w:rsidR="00194FAF">
        <w:t>The</w:t>
      </w:r>
      <w:r w:rsidR="002514B0">
        <w:t xml:space="preserve"> </w:t>
      </w:r>
      <w:r w:rsidR="00194FAF">
        <w:t>dynamic</w:t>
      </w:r>
      <w:r w:rsidR="002514B0">
        <w:t xml:space="preserve"> </w:t>
      </w:r>
      <w:r w:rsidR="00194FAF">
        <w:t>nature</w:t>
      </w:r>
      <w:r w:rsidR="002514B0">
        <w:t xml:space="preserve"> </w:t>
      </w:r>
      <w:r w:rsidR="00194FAF">
        <w:t>of</w:t>
      </w:r>
      <w:r w:rsidR="002514B0">
        <w:t xml:space="preserve"> </w:t>
      </w:r>
      <w:r w:rsidR="00194FAF">
        <w:t>New</w:t>
      </w:r>
      <w:r w:rsidR="002514B0">
        <w:t xml:space="preserve"> </w:t>
      </w:r>
      <w:r w:rsidR="00194FAF">
        <w:t>Orleans</w:t>
      </w:r>
      <w:r w:rsidR="00E52C8A">
        <w:t>’</w:t>
      </w:r>
      <w:r w:rsidR="002514B0">
        <w:t xml:space="preserve"> </w:t>
      </w:r>
      <w:r w:rsidR="00194FAF">
        <w:t>grid</w:t>
      </w:r>
      <w:r w:rsidR="002514B0">
        <w:t xml:space="preserve"> </w:t>
      </w:r>
      <w:r w:rsidR="0060127D">
        <w:t>requires</w:t>
      </w:r>
      <w:r w:rsidR="002514B0">
        <w:t xml:space="preserve"> </w:t>
      </w:r>
      <w:r w:rsidR="00194FAF">
        <w:t>a</w:t>
      </w:r>
      <w:r w:rsidR="002514B0">
        <w:t xml:space="preserve"> </w:t>
      </w:r>
      <w:r w:rsidR="00194FAF">
        <w:t>rate</w:t>
      </w:r>
      <w:r w:rsidR="002514B0">
        <w:t xml:space="preserve"> </w:t>
      </w:r>
      <w:r w:rsidR="00194FAF">
        <w:t>structure</w:t>
      </w:r>
      <w:r w:rsidR="002514B0">
        <w:t xml:space="preserve"> </w:t>
      </w:r>
      <w:r w:rsidR="00194FAF">
        <w:t>that</w:t>
      </w:r>
      <w:r w:rsidR="002514B0">
        <w:t xml:space="preserve"> </w:t>
      </w:r>
      <w:r w:rsidR="00194FAF">
        <w:t>is</w:t>
      </w:r>
      <w:r w:rsidR="002514B0">
        <w:t xml:space="preserve"> </w:t>
      </w:r>
      <w:r w:rsidR="00194FAF">
        <w:t>responsive</w:t>
      </w:r>
      <w:r w:rsidR="002514B0">
        <w:t xml:space="preserve"> </w:t>
      </w:r>
      <w:r w:rsidR="00194FAF">
        <w:t>to</w:t>
      </w:r>
      <w:r w:rsidR="002514B0">
        <w:t xml:space="preserve"> </w:t>
      </w:r>
      <w:r w:rsidR="00194FAF">
        <w:t>a</w:t>
      </w:r>
      <w:r w:rsidR="002514B0">
        <w:t xml:space="preserve"> </w:t>
      </w:r>
      <w:r w:rsidR="00194FAF">
        <w:t>changing</w:t>
      </w:r>
      <w:r w:rsidR="002514B0">
        <w:t xml:space="preserve"> </w:t>
      </w:r>
      <w:r w:rsidR="0060127D">
        <w:t xml:space="preserve">temporal </w:t>
      </w:r>
      <w:r w:rsidR="00194FAF">
        <w:t>demand</w:t>
      </w:r>
      <w:r w:rsidR="002514B0">
        <w:t xml:space="preserve"> </w:t>
      </w:r>
      <w:r w:rsidR="00194FAF">
        <w:t>and</w:t>
      </w:r>
      <w:r w:rsidR="002514B0">
        <w:t xml:space="preserve"> </w:t>
      </w:r>
      <w:r w:rsidR="0060127D">
        <w:t xml:space="preserve">structural </w:t>
      </w:r>
      <w:r w:rsidR="00194FAF">
        <w:t>load</w:t>
      </w:r>
      <w:r w:rsidR="002514B0">
        <w:t xml:space="preserve"> </w:t>
      </w:r>
      <w:r w:rsidR="00194FAF">
        <w:t>pattern.</w:t>
      </w:r>
      <w:r w:rsidR="002514B0">
        <w:t xml:space="preserve"> </w:t>
      </w:r>
      <w:r w:rsidR="00194FAF">
        <w:t>It</w:t>
      </w:r>
      <w:r w:rsidR="002514B0">
        <w:t xml:space="preserve"> </w:t>
      </w:r>
      <w:r w:rsidR="00194FAF">
        <w:t>is</w:t>
      </w:r>
      <w:r w:rsidR="002514B0">
        <w:t xml:space="preserve"> </w:t>
      </w:r>
      <w:r w:rsidR="002615F7">
        <w:t>well</w:t>
      </w:r>
      <w:r w:rsidR="002514B0">
        <w:t xml:space="preserve"> </w:t>
      </w:r>
      <w:r w:rsidR="00194FAF">
        <w:t>known</w:t>
      </w:r>
      <w:r w:rsidR="002514B0">
        <w:t xml:space="preserve"> </w:t>
      </w:r>
      <w:r w:rsidR="00194FAF">
        <w:t>that</w:t>
      </w:r>
      <w:r w:rsidR="002514B0">
        <w:t xml:space="preserve"> </w:t>
      </w:r>
      <w:r w:rsidR="00E52C8A">
        <w:t>the</w:t>
      </w:r>
      <w:r w:rsidR="002514B0">
        <w:t xml:space="preserve"> </w:t>
      </w:r>
      <w:r w:rsidR="00E52C8A">
        <w:t>composite</w:t>
      </w:r>
      <w:r w:rsidR="002514B0">
        <w:t xml:space="preserve"> </w:t>
      </w:r>
      <w:r w:rsidR="00194FAF">
        <w:t>residential</w:t>
      </w:r>
      <w:r w:rsidR="002514B0">
        <w:t xml:space="preserve"> </w:t>
      </w:r>
      <w:r w:rsidR="00E52C8A">
        <w:t>customer</w:t>
      </w:r>
      <w:r w:rsidR="002514B0">
        <w:t xml:space="preserve"> </w:t>
      </w:r>
      <w:r w:rsidR="00E52C8A">
        <w:t>class’s</w:t>
      </w:r>
      <w:r w:rsidR="002514B0">
        <w:t xml:space="preserve"> </w:t>
      </w:r>
      <w:r w:rsidR="002615F7">
        <w:t>peak</w:t>
      </w:r>
      <w:r w:rsidR="002514B0">
        <w:t xml:space="preserve"> </w:t>
      </w:r>
      <w:r w:rsidR="00194FAF">
        <w:t>power</w:t>
      </w:r>
      <w:r w:rsidR="002514B0">
        <w:t xml:space="preserve"> </w:t>
      </w:r>
      <w:r w:rsidR="00194FAF">
        <w:t>consumption</w:t>
      </w:r>
      <w:r w:rsidR="002514B0">
        <w:t xml:space="preserve"> </w:t>
      </w:r>
      <w:r w:rsidR="00194FAF">
        <w:t>is</w:t>
      </w:r>
      <w:r w:rsidR="002514B0">
        <w:t xml:space="preserve"> </w:t>
      </w:r>
      <w:r w:rsidR="00194FAF">
        <w:t>higher</w:t>
      </w:r>
      <w:r w:rsidR="002514B0">
        <w:t xml:space="preserve"> </w:t>
      </w:r>
      <w:r w:rsidR="00194FAF">
        <w:t>than</w:t>
      </w:r>
      <w:r w:rsidR="002514B0">
        <w:t xml:space="preserve"> </w:t>
      </w:r>
      <w:r w:rsidR="002615F7">
        <w:t>the</w:t>
      </w:r>
      <w:r w:rsidR="002514B0">
        <w:t xml:space="preserve"> </w:t>
      </w:r>
      <w:r w:rsidR="002615F7">
        <w:t>commercial</w:t>
      </w:r>
      <w:r w:rsidR="002514B0">
        <w:t xml:space="preserve"> </w:t>
      </w:r>
      <w:r w:rsidR="002615F7">
        <w:t>sector</w:t>
      </w:r>
      <w:r w:rsidR="00194FAF">
        <w:t>.</w:t>
      </w:r>
      <w:r w:rsidR="002514B0">
        <w:t xml:space="preserve"> </w:t>
      </w:r>
      <w:r w:rsidR="00194FAF">
        <w:t>In</w:t>
      </w:r>
      <w:r w:rsidR="002514B0">
        <w:t xml:space="preserve"> </w:t>
      </w:r>
      <w:r w:rsidR="00194FAF">
        <w:t>addition</w:t>
      </w:r>
      <w:r w:rsidR="00E52C8A">
        <w:t>,</w:t>
      </w:r>
      <w:r w:rsidR="002514B0">
        <w:t xml:space="preserve"> </w:t>
      </w:r>
      <w:r w:rsidR="00194FAF">
        <w:t>residential</w:t>
      </w:r>
      <w:r w:rsidR="002514B0">
        <w:t xml:space="preserve"> </w:t>
      </w:r>
      <w:r w:rsidR="00194FAF">
        <w:t>peak</w:t>
      </w:r>
      <w:r w:rsidR="002514B0">
        <w:t xml:space="preserve"> </w:t>
      </w:r>
      <w:r w:rsidR="00194FAF">
        <w:t>times</w:t>
      </w:r>
      <w:r w:rsidR="002514B0">
        <w:t xml:space="preserve"> </w:t>
      </w:r>
      <w:r w:rsidR="00194FAF">
        <w:t>are</w:t>
      </w:r>
      <w:r w:rsidR="002514B0">
        <w:t xml:space="preserve"> </w:t>
      </w:r>
      <w:r w:rsidR="00194FAF">
        <w:t>not</w:t>
      </w:r>
      <w:r w:rsidR="002514B0">
        <w:t xml:space="preserve"> </w:t>
      </w:r>
      <w:r w:rsidR="00194FAF">
        <w:t>coincident</w:t>
      </w:r>
      <w:r w:rsidR="002514B0">
        <w:t xml:space="preserve"> </w:t>
      </w:r>
      <w:r w:rsidR="00194FAF">
        <w:lastRenderedPageBreak/>
        <w:t>with</w:t>
      </w:r>
      <w:r w:rsidR="002514B0">
        <w:t xml:space="preserve"> </w:t>
      </w:r>
      <w:r w:rsidR="00194FAF">
        <w:t>office</w:t>
      </w:r>
      <w:r w:rsidR="002514B0">
        <w:t xml:space="preserve"> </w:t>
      </w:r>
      <w:r w:rsidR="00194FAF">
        <w:t>peaks.</w:t>
      </w:r>
      <w:r w:rsidR="002514B0">
        <w:t xml:space="preserve"> </w:t>
      </w:r>
      <w:r w:rsidR="006F309F">
        <w:t>Although, t</w:t>
      </w:r>
      <w:r w:rsidR="00194FAF">
        <w:t>his</w:t>
      </w:r>
      <w:r w:rsidR="002514B0">
        <w:t xml:space="preserve"> </w:t>
      </w:r>
      <w:r w:rsidR="00194FAF">
        <w:t>may</w:t>
      </w:r>
      <w:r w:rsidR="002514B0">
        <w:t xml:space="preserve"> </w:t>
      </w:r>
      <w:r w:rsidR="00194FAF">
        <w:t>be</w:t>
      </w:r>
      <w:r w:rsidR="002514B0">
        <w:t xml:space="preserve"> </w:t>
      </w:r>
      <w:r w:rsidR="00194FAF">
        <w:t>helpful</w:t>
      </w:r>
      <w:r w:rsidR="002514B0">
        <w:t xml:space="preserve"> </w:t>
      </w:r>
      <w:r w:rsidR="00194FAF">
        <w:t>overall</w:t>
      </w:r>
      <w:r w:rsidR="002514B0">
        <w:t xml:space="preserve"> </w:t>
      </w:r>
      <w:r w:rsidR="00194FAF">
        <w:t>to</w:t>
      </w:r>
      <w:r w:rsidR="002514B0">
        <w:t xml:space="preserve"> </w:t>
      </w:r>
      <w:r w:rsidR="00194FAF">
        <w:t>the</w:t>
      </w:r>
      <w:r w:rsidR="002514B0">
        <w:t xml:space="preserve"> </w:t>
      </w:r>
      <w:r w:rsidR="00194FAF">
        <w:t>downtown</w:t>
      </w:r>
      <w:r w:rsidR="002514B0">
        <w:t xml:space="preserve"> </w:t>
      </w:r>
      <w:r w:rsidR="00194FAF">
        <w:t>grid</w:t>
      </w:r>
      <w:r w:rsidR="006F309F">
        <w:t>,</w:t>
      </w:r>
      <w:r w:rsidR="002514B0">
        <w:t xml:space="preserve"> </w:t>
      </w:r>
      <w:r w:rsidR="006F309F">
        <w:t>t</w:t>
      </w:r>
      <w:r w:rsidR="00194FAF">
        <w:t>here</w:t>
      </w:r>
      <w:r w:rsidR="002514B0">
        <w:t xml:space="preserve"> </w:t>
      </w:r>
      <w:r w:rsidR="00194FAF">
        <w:t>are</w:t>
      </w:r>
      <w:r w:rsidR="006F309F">
        <w:t xml:space="preserve"> still</w:t>
      </w:r>
      <w:r w:rsidR="002514B0">
        <w:t xml:space="preserve"> </w:t>
      </w:r>
      <w:r w:rsidR="00194FAF">
        <w:t>many</w:t>
      </w:r>
      <w:r w:rsidR="002514B0">
        <w:t xml:space="preserve"> </w:t>
      </w:r>
      <w:r w:rsidR="00194FAF">
        <w:t>areas</w:t>
      </w:r>
      <w:r w:rsidR="002514B0">
        <w:t xml:space="preserve"> </w:t>
      </w:r>
      <w:r w:rsidR="00194FAF">
        <w:t>of</w:t>
      </w:r>
      <w:r w:rsidR="002514B0">
        <w:t xml:space="preserve"> </w:t>
      </w:r>
      <w:r w:rsidR="00194FAF">
        <w:t>the</w:t>
      </w:r>
      <w:r w:rsidR="002514B0">
        <w:t xml:space="preserve"> </w:t>
      </w:r>
      <w:r w:rsidR="00194FAF">
        <w:t>downtown</w:t>
      </w:r>
      <w:r w:rsidR="002514B0">
        <w:t xml:space="preserve"> </w:t>
      </w:r>
      <w:r w:rsidR="00194FAF">
        <w:t>grid</w:t>
      </w:r>
      <w:r w:rsidR="002514B0">
        <w:t xml:space="preserve"> </w:t>
      </w:r>
      <w:r w:rsidR="00194FAF">
        <w:t>that</w:t>
      </w:r>
      <w:r w:rsidR="002514B0">
        <w:t xml:space="preserve"> </w:t>
      </w:r>
      <w:r w:rsidR="006F309F">
        <w:t>need or will need</w:t>
      </w:r>
      <w:r w:rsidR="002514B0">
        <w:t xml:space="preserve"> </w:t>
      </w:r>
      <w:r w:rsidR="00194FAF">
        <w:t>upgrade</w:t>
      </w:r>
      <w:r w:rsidR="006F309F">
        <w:t>s</w:t>
      </w:r>
      <w:r w:rsidR="002514B0">
        <w:t xml:space="preserve"> </w:t>
      </w:r>
      <w:r w:rsidR="00194FAF">
        <w:t>from</w:t>
      </w:r>
      <w:r w:rsidR="002514B0">
        <w:t xml:space="preserve"> </w:t>
      </w:r>
      <w:r w:rsidR="002615F7">
        <w:t>a</w:t>
      </w:r>
      <w:r w:rsidR="002514B0">
        <w:t xml:space="preserve"> </w:t>
      </w:r>
      <w:r w:rsidR="00194FAF">
        <w:t>4</w:t>
      </w:r>
      <w:r w:rsidR="001C3032">
        <w:t>.</w:t>
      </w:r>
      <w:r w:rsidR="00194FAF">
        <w:t>46</w:t>
      </w:r>
      <w:r w:rsidR="001C3032">
        <w:t xml:space="preserve"> K</w:t>
      </w:r>
      <w:r w:rsidR="00194FAF">
        <w:t>V</w:t>
      </w:r>
      <w:r w:rsidR="002514B0">
        <w:t xml:space="preserve"> </w:t>
      </w:r>
      <w:r w:rsidR="00194FAF">
        <w:t>to</w:t>
      </w:r>
      <w:r w:rsidR="002514B0">
        <w:t xml:space="preserve"> </w:t>
      </w:r>
      <w:r w:rsidR="00194FAF">
        <w:t>a</w:t>
      </w:r>
      <w:r w:rsidR="002514B0">
        <w:t xml:space="preserve"> </w:t>
      </w:r>
      <w:r w:rsidR="00194FAF">
        <w:t>13.8KV</w:t>
      </w:r>
      <w:r w:rsidR="002514B0">
        <w:t xml:space="preserve"> </w:t>
      </w:r>
      <w:r w:rsidR="00194FAF">
        <w:t>system.</w:t>
      </w:r>
      <w:r w:rsidR="002514B0">
        <w:t xml:space="preserve"> </w:t>
      </w:r>
      <w:r w:rsidR="00194FAF">
        <w:t>This</w:t>
      </w:r>
      <w:r w:rsidR="002514B0">
        <w:t xml:space="preserve"> </w:t>
      </w:r>
      <w:r w:rsidR="00194FAF">
        <w:t>has</w:t>
      </w:r>
      <w:r w:rsidR="002514B0">
        <w:t xml:space="preserve"> </w:t>
      </w:r>
      <w:r w:rsidR="00194FAF">
        <w:t>been</w:t>
      </w:r>
      <w:r w:rsidR="002514B0">
        <w:t xml:space="preserve"> </w:t>
      </w:r>
      <w:r w:rsidR="00194FAF">
        <w:t>require</w:t>
      </w:r>
      <w:r w:rsidR="002615F7">
        <w:t>d</w:t>
      </w:r>
      <w:r w:rsidR="002514B0">
        <w:t xml:space="preserve"> </w:t>
      </w:r>
      <w:r w:rsidR="006F309F">
        <w:t xml:space="preserve">partly </w:t>
      </w:r>
      <w:r w:rsidR="00183DBA">
        <w:t>because</w:t>
      </w:r>
      <w:r w:rsidR="002514B0">
        <w:t xml:space="preserve"> </w:t>
      </w:r>
      <w:r w:rsidR="00194FAF">
        <w:t>ENO</w:t>
      </w:r>
      <w:r w:rsidR="002514B0">
        <w:t xml:space="preserve"> </w:t>
      </w:r>
      <w:r w:rsidR="001C3032">
        <w:t>has struggled at times to</w:t>
      </w:r>
      <w:r w:rsidR="002514B0">
        <w:t xml:space="preserve"> </w:t>
      </w:r>
      <w:r w:rsidR="00BD70EE">
        <w:t xml:space="preserve">provide </w:t>
      </w:r>
      <w:r w:rsidR="00194FAF">
        <w:t>power</w:t>
      </w:r>
      <w:r w:rsidR="002514B0">
        <w:t xml:space="preserve"> </w:t>
      </w:r>
      <w:r w:rsidR="00194FAF">
        <w:t>demanded</w:t>
      </w:r>
      <w:r w:rsidR="002514B0">
        <w:t xml:space="preserve"> </w:t>
      </w:r>
      <w:r w:rsidR="00194FAF">
        <w:t>for</w:t>
      </w:r>
      <w:r w:rsidR="002514B0">
        <w:t xml:space="preserve"> </w:t>
      </w:r>
      <w:r w:rsidR="00194FAF">
        <w:t>the</w:t>
      </w:r>
      <w:r w:rsidR="002514B0">
        <w:t xml:space="preserve"> </w:t>
      </w:r>
      <w:r w:rsidR="00194FAF">
        <w:t>expansion</w:t>
      </w:r>
      <w:r w:rsidR="002514B0">
        <w:t xml:space="preserve"> </w:t>
      </w:r>
      <w:r w:rsidR="00194FAF">
        <w:t>of</w:t>
      </w:r>
      <w:r w:rsidR="002514B0">
        <w:t xml:space="preserve"> </w:t>
      </w:r>
      <w:r w:rsidR="00194FAF">
        <w:t>occupancy</w:t>
      </w:r>
      <w:r w:rsidR="002514B0">
        <w:t xml:space="preserve"> </w:t>
      </w:r>
      <w:r w:rsidR="00194FAF">
        <w:t>in</w:t>
      </w:r>
      <w:r w:rsidR="002514B0">
        <w:t xml:space="preserve"> </w:t>
      </w:r>
      <w:r w:rsidR="00194FAF">
        <w:t>the</w:t>
      </w:r>
      <w:r w:rsidR="002514B0">
        <w:t xml:space="preserve"> </w:t>
      </w:r>
      <w:r w:rsidR="00194FAF">
        <w:t>city</w:t>
      </w:r>
      <w:r w:rsidR="002514B0">
        <w:t xml:space="preserve"> </w:t>
      </w:r>
      <w:r w:rsidR="00194FAF">
        <w:t>thr</w:t>
      </w:r>
      <w:r w:rsidR="00E52C8A">
        <w:t>o</w:t>
      </w:r>
      <w:r w:rsidR="00194FAF">
        <w:t>u</w:t>
      </w:r>
      <w:r w:rsidR="00E52C8A">
        <w:t>gh</w:t>
      </w:r>
      <w:r w:rsidR="002514B0">
        <w:t xml:space="preserve"> </w:t>
      </w:r>
      <w:r w:rsidR="00194FAF">
        <w:t>high</w:t>
      </w:r>
      <w:r w:rsidR="00E52C8A">
        <w:t>-</w:t>
      </w:r>
      <w:r w:rsidR="00194FAF">
        <w:t>rise</w:t>
      </w:r>
      <w:r w:rsidR="001C3032">
        <w:t xml:space="preserve"> residential</w:t>
      </w:r>
      <w:r w:rsidR="002514B0">
        <w:t xml:space="preserve"> </w:t>
      </w:r>
      <w:r w:rsidR="00194FAF">
        <w:t>construction</w:t>
      </w:r>
      <w:r w:rsidR="002514B0">
        <w:t xml:space="preserve"> </w:t>
      </w:r>
      <w:r w:rsidR="00194FAF">
        <w:t>on</w:t>
      </w:r>
      <w:r w:rsidR="002514B0">
        <w:t xml:space="preserve"> </w:t>
      </w:r>
      <w:r w:rsidR="00194FAF">
        <w:t>streets</w:t>
      </w:r>
      <w:r w:rsidR="002514B0">
        <w:t xml:space="preserve"> </w:t>
      </w:r>
      <w:r w:rsidR="002615F7">
        <w:t>that</w:t>
      </w:r>
      <w:r w:rsidR="002514B0">
        <w:t xml:space="preserve"> </w:t>
      </w:r>
      <w:r w:rsidR="00194FAF">
        <w:t>previously</w:t>
      </w:r>
      <w:r w:rsidR="002514B0">
        <w:t xml:space="preserve"> </w:t>
      </w:r>
      <w:r w:rsidR="002615F7">
        <w:t>only</w:t>
      </w:r>
      <w:r w:rsidR="002514B0">
        <w:t xml:space="preserve"> </w:t>
      </w:r>
      <w:r w:rsidR="00E52C8A">
        <w:t>accommodat</w:t>
      </w:r>
      <w:r w:rsidR="002615F7">
        <w:t>ed</w:t>
      </w:r>
      <w:r w:rsidR="002514B0">
        <w:t xml:space="preserve"> </w:t>
      </w:r>
      <w:r w:rsidR="00194FAF">
        <w:t>low</w:t>
      </w:r>
      <w:r w:rsidR="00E52C8A">
        <w:t>-</w:t>
      </w:r>
      <w:r w:rsidR="00194FAF">
        <w:t>rise</w:t>
      </w:r>
      <w:r w:rsidR="006F309F">
        <w:t xml:space="preserve"> or only</w:t>
      </w:r>
      <w:r w:rsidR="002514B0">
        <w:t xml:space="preserve"> </w:t>
      </w:r>
      <w:r w:rsidR="00E26D41">
        <w:t xml:space="preserve">commercial </w:t>
      </w:r>
      <w:r w:rsidR="006F309F">
        <w:t>customers</w:t>
      </w:r>
      <w:r w:rsidR="00194FAF">
        <w:t>.</w:t>
      </w:r>
    </w:p>
    <w:p w14:paraId="7DFA01AC" w14:textId="0DADDAB0" w:rsidR="00511610" w:rsidRPr="003C7F6D" w:rsidRDefault="002615F7" w:rsidP="00E52C8A">
      <w:pPr>
        <w:pStyle w:val="BodyText"/>
        <w:rPr>
          <w:rFonts w:asciiTheme="majorHAnsi" w:eastAsiaTheme="majorEastAsia" w:hAnsiTheme="majorHAnsi" w:cstheme="majorBidi"/>
          <w:sz w:val="26"/>
          <w:szCs w:val="26"/>
        </w:rPr>
      </w:pPr>
      <w:r>
        <w:t>Since</w:t>
      </w:r>
      <w:r w:rsidR="002514B0">
        <w:t xml:space="preserve"> </w:t>
      </w:r>
      <w:r>
        <w:t>Katrina,</w:t>
      </w:r>
      <w:r w:rsidR="002514B0">
        <w:t xml:space="preserve"> </w:t>
      </w:r>
      <w:r>
        <w:t>t</w:t>
      </w:r>
      <w:r w:rsidR="000C204F">
        <w:t>he</w:t>
      </w:r>
      <w:r w:rsidR="002514B0">
        <w:t xml:space="preserve"> </w:t>
      </w:r>
      <w:r w:rsidR="000C204F">
        <w:t>Council</w:t>
      </w:r>
      <w:r w:rsidR="002514B0">
        <w:t xml:space="preserve"> </w:t>
      </w:r>
      <w:r w:rsidR="000C204F">
        <w:t>has</w:t>
      </w:r>
      <w:r w:rsidR="002514B0">
        <w:t xml:space="preserve"> </w:t>
      </w:r>
      <w:r w:rsidR="000C204F">
        <w:t>work</w:t>
      </w:r>
      <w:r>
        <w:t>ed</w:t>
      </w:r>
      <w:r w:rsidR="002514B0">
        <w:t xml:space="preserve"> </w:t>
      </w:r>
      <w:r w:rsidR="000C204F">
        <w:t>with</w:t>
      </w:r>
      <w:r w:rsidR="002514B0">
        <w:t xml:space="preserve"> </w:t>
      </w:r>
      <w:r w:rsidR="000C204F">
        <w:t>FEMA</w:t>
      </w:r>
      <w:r w:rsidR="002514B0">
        <w:t xml:space="preserve"> </w:t>
      </w:r>
      <w:r w:rsidR="000C204F">
        <w:t>in</w:t>
      </w:r>
      <w:r w:rsidR="002514B0">
        <w:t xml:space="preserve"> </w:t>
      </w:r>
      <w:r w:rsidR="000C204F">
        <w:t>setting</w:t>
      </w:r>
      <w:r w:rsidR="002514B0">
        <w:t xml:space="preserve"> </w:t>
      </w:r>
      <w:r w:rsidR="000C204F">
        <w:t>flood</w:t>
      </w:r>
      <w:r>
        <w:t>-</w:t>
      </w:r>
      <w:r w:rsidR="000C204F">
        <w:t>mitigation</w:t>
      </w:r>
      <w:r w:rsidR="002514B0">
        <w:t xml:space="preserve"> </w:t>
      </w:r>
      <w:r w:rsidR="000C204F">
        <w:t>guidelines</w:t>
      </w:r>
      <w:r w:rsidR="002514B0">
        <w:t xml:space="preserve"> </w:t>
      </w:r>
      <w:r w:rsidR="000C204F">
        <w:t>to</w:t>
      </w:r>
      <w:r w:rsidR="002514B0">
        <w:t xml:space="preserve"> </w:t>
      </w:r>
      <w:r w:rsidR="000C204F">
        <w:t>help</w:t>
      </w:r>
      <w:r w:rsidR="002514B0">
        <w:t xml:space="preserve"> </w:t>
      </w:r>
      <w:r w:rsidR="000C204F">
        <w:t>the</w:t>
      </w:r>
      <w:r w:rsidR="002514B0">
        <w:t xml:space="preserve"> </w:t>
      </w:r>
      <w:r w:rsidR="000C204F">
        <w:t>residents</w:t>
      </w:r>
      <w:r w:rsidR="002514B0">
        <w:t xml:space="preserve"> </w:t>
      </w:r>
      <w:r w:rsidR="000C204F">
        <w:t>(the</w:t>
      </w:r>
      <w:r w:rsidR="002514B0">
        <w:t xml:space="preserve"> </w:t>
      </w:r>
      <w:r w:rsidR="000C204F">
        <w:t>Council’s</w:t>
      </w:r>
      <w:r w:rsidR="002514B0">
        <w:t xml:space="preserve"> </w:t>
      </w:r>
      <w:r w:rsidR="000C204F">
        <w:t>constituents)</w:t>
      </w:r>
      <w:r w:rsidR="002514B0">
        <w:t xml:space="preserve"> </w:t>
      </w:r>
      <w:r w:rsidR="000C204F">
        <w:t>find</w:t>
      </w:r>
      <w:r w:rsidR="002514B0">
        <w:t xml:space="preserve"> </w:t>
      </w:r>
      <w:r w:rsidR="000C204F">
        <w:t>ways</w:t>
      </w:r>
      <w:r w:rsidR="002514B0">
        <w:t xml:space="preserve"> </w:t>
      </w:r>
      <w:r w:rsidR="000C204F">
        <w:t>to</w:t>
      </w:r>
      <w:r w:rsidR="002514B0">
        <w:t xml:space="preserve"> </w:t>
      </w:r>
      <w:r w:rsidR="000C204F">
        <w:t>reduce</w:t>
      </w:r>
      <w:r w:rsidR="002514B0">
        <w:t xml:space="preserve"> </w:t>
      </w:r>
      <w:r w:rsidR="000C204F">
        <w:t>their</w:t>
      </w:r>
      <w:r w:rsidR="002514B0">
        <w:t xml:space="preserve"> </w:t>
      </w:r>
      <w:r w:rsidR="000C204F">
        <w:t>potential</w:t>
      </w:r>
      <w:r w:rsidR="002514B0">
        <w:t xml:space="preserve"> </w:t>
      </w:r>
      <w:r w:rsidR="000C204F">
        <w:t>losses</w:t>
      </w:r>
      <w:r w:rsidR="00D80F33">
        <w:t>,</w:t>
      </w:r>
      <w:r w:rsidR="00A81CFB">
        <w:t xml:space="preserve"> </w:t>
      </w:r>
      <w:r w:rsidR="000C204F">
        <w:t>insurance</w:t>
      </w:r>
      <w:r w:rsidR="002514B0">
        <w:t xml:space="preserve"> </w:t>
      </w:r>
      <w:r w:rsidR="000C204F">
        <w:t>payments.</w:t>
      </w:r>
      <w:r w:rsidR="002514B0">
        <w:t xml:space="preserve"> </w:t>
      </w:r>
      <w:r w:rsidR="000C204F">
        <w:t>This</w:t>
      </w:r>
      <w:r w:rsidR="002514B0">
        <w:t xml:space="preserve"> </w:t>
      </w:r>
      <w:r w:rsidR="000C204F">
        <w:t>example</w:t>
      </w:r>
      <w:r w:rsidR="002514B0">
        <w:t xml:space="preserve"> </w:t>
      </w:r>
      <w:r w:rsidR="000C204F">
        <w:t>is</w:t>
      </w:r>
      <w:r w:rsidR="002514B0">
        <w:t xml:space="preserve"> </w:t>
      </w:r>
      <w:r w:rsidR="000C204F">
        <w:t>offered</w:t>
      </w:r>
      <w:r w:rsidR="002514B0">
        <w:t xml:space="preserve"> </w:t>
      </w:r>
      <w:r w:rsidR="000C204F">
        <w:t>as</w:t>
      </w:r>
      <w:r w:rsidR="002514B0">
        <w:t xml:space="preserve"> </w:t>
      </w:r>
      <w:r w:rsidR="000C204F">
        <w:t>a</w:t>
      </w:r>
      <w:r w:rsidR="002514B0">
        <w:t xml:space="preserve"> </w:t>
      </w:r>
      <w:r>
        <w:t>similar</w:t>
      </w:r>
      <w:r w:rsidR="002514B0">
        <w:t xml:space="preserve"> </w:t>
      </w:r>
      <w:r>
        <w:t>paradigm</w:t>
      </w:r>
      <w:r w:rsidR="003B1787">
        <w:t>-</w:t>
      </w:r>
      <w:r>
        <w:t>shift</w:t>
      </w:r>
      <w:r w:rsidR="00D80F33">
        <w:t>,</w:t>
      </w:r>
      <w:r w:rsidR="002514B0">
        <w:t xml:space="preserve"> </w:t>
      </w:r>
      <w:r>
        <w:t>much</w:t>
      </w:r>
      <w:r w:rsidR="002514B0">
        <w:t xml:space="preserve"> </w:t>
      </w:r>
      <w:r>
        <w:t>like</w:t>
      </w:r>
      <w:r w:rsidR="002514B0">
        <w:t xml:space="preserve"> </w:t>
      </w:r>
      <w:r>
        <w:t>that</w:t>
      </w:r>
      <w:r w:rsidR="002514B0">
        <w:t xml:space="preserve"> </w:t>
      </w:r>
      <w:r>
        <w:t>provided</w:t>
      </w:r>
      <w:r w:rsidR="002514B0">
        <w:t xml:space="preserve"> </w:t>
      </w:r>
      <w:r>
        <w:t>by</w:t>
      </w:r>
      <w:r w:rsidR="002514B0">
        <w:t xml:space="preserve"> </w:t>
      </w:r>
      <w:r w:rsidR="00194FAF">
        <w:t>CLEP</w:t>
      </w:r>
      <w:r w:rsidR="006F309F">
        <w:t>,</w:t>
      </w:r>
      <w:r w:rsidR="002514B0">
        <w:t xml:space="preserve"> </w:t>
      </w:r>
      <w:r w:rsidR="00194FAF">
        <w:t>in</w:t>
      </w:r>
      <w:r w:rsidR="002514B0">
        <w:t xml:space="preserve"> </w:t>
      </w:r>
      <w:r w:rsidR="00194FAF">
        <w:t>that</w:t>
      </w:r>
      <w:r w:rsidR="002514B0">
        <w:t xml:space="preserve"> </w:t>
      </w:r>
      <w:r w:rsidR="00194FAF">
        <w:t>CLEP</w:t>
      </w:r>
      <w:r w:rsidR="002514B0">
        <w:t xml:space="preserve"> </w:t>
      </w:r>
      <w:r w:rsidR="00194FAF">
        <w:t>is</w:t>
      </w:r>
      <w:r w:rsidR="002514B0">
        <w:t xml:space="preserve"> </w:t>
      </w:r>
      <w:r w:rsidR="00194FAF">
        <w:t>a</w:t>
      </w:r>
      <w:r w:rsidR="002514B0">
        <w:t xml:space="preserve"> </w:t>
      </w:r>
      <w:r w:rsidR="00194FAF">
        <w:t>rate</w:t>
      </w:r>
      <w:r w:rsidR="002514B0">
        <w:t xml:space="preserve"> </w:t>
      </w:r>
      <w:r w:rsidR="00194FAF">
        <w:t>mechanism</w:t>
      </w:r>
      <w:r w:rsidR="002514B0">
        <w:t xml:space="preserve"> </w:t>
      </w:r>
      <w:r w:rsidR="00194FAF">
        <w:t>to</w:t>
      </w:r>
      <w:r w:rsidR="002514B0">
        <w:t xml:space="preserve"> </w:t>
      </w:r>
      <w:r w:rsidR="00194FAF">
        <w:t>help</w:t>
      </w:r>
      <w:r w:rsidR="002514B0">
        <w:t xml:space="preserve"> </w:t>
      </w:r>
      <w:r w:rsidR="00194FAF">
        <w:t>residents</w:t>
      </w:r>
      <w:r w:rsidR="002514B0">
        <w:t xml:space="preserve"> </w:t>
      </w:r>
      <w:r w:rsidR="00194FAF">
        <w:t>reduce</w:t>
      </w:r>
      <w:r w:rsidR="002514B0">
        <w:t xml:space="preserve"> </w:t>
      </w:r>
      <w:r w:rsidR="00194FAF">
        <w:t>their</w:t>
      </w:r>
      <w:r w:rsidR="002514B0">
        <w:t xml:space="preserve"> </w:t>
      </w:r>
      <w:r w:rsidR="00194FAF">
        <w:t>energy</w:t>
      </w:r>
      <w:r w:rsidR="002514B0">
        <w:t xml:space="preserve"> </w:t>
      </w:r>
      <w:r w:rsidR="00194FAF">
        <w:t>cost</w:t>
      </w:r>
      <w:r w:rsidR="00D90FA8">
        <w:t>s</w:t>
      </w:r>
      <w:r w:rsidR="002514B0">
        <w:t xml:space="preserve"> </w:t>
      </w:r>
      <w:r w:rsidR="00194FAF">
        <w:t>and</w:t>
      </w:r>
      <w:r w:rsidR="002514B0">
        <w:t xml:space="preserve"> </w:t>
      </w:r>
      <w:r w:rsidR="00194FAF">
        <w:t>have</w:t>
      </w:r>
      <w:r w:rsidR="002514B0">
        <w:t xml:space="preserve"> </w:t>
      </w:r>
      <w:r w:rsidR="00194FAF">
        <w:t>greater</w:t>
      </w:r>
      <w:r w:rsidR="002514B0">
        <w:t xml:space="preserve"> </w:t>
      </w:r>
      <w:r w:rsidR="00194FAF">
        <w:t>control</w:t>
      </w:r>
      <w:r w:rsidR="002514B0">
        <w:t xml:space="preserve"> </w:t>
      </w:r>
      <w:r w:rsidR="00194FAF">
        <w:t>over</w:t>
      </w:r>
      <w:r w:rsidR="002514B0">
        <w:t xml:space="preserve"> </w:t>
      </w:r>
      <w:r w:rsidR="00194FAF">
        <w:t>their</w:t>
      </w:r>
      <w:r w:rsidR="002514B0">
        <w:t xml:space="preserve"> </w:t>
      </w:r>
      <w:r w:rsidR="00194FAF">
        <w:t>costs</w:t>
      </w:r>
      <w:r w:rsidR="00E26D41">
        <w:t>,</w:t>
      </w:r>
      <w:r w:rsidR="002514B0">
        <w:t xml:space="preserve"> </w:t>
      </w:r>
      <w:r w:rsidR="003B1787">
        <w:t>and</w:t>
      </w:r>
      <w:r w:rsidR="002514B0">
        <w:t xml:space="preserve"> </w:t>
      </w:r>
      <w:r w:rsidR="003B1787">
        <w:t>thereby</w:t>
      </w:r>
      <w:r w:rsidR="00E26D41">
        <w:t>,</w:t>
      </w:r>
      <w:r w:rsidR="002514B0">
        <w:t xml:space="preserve"> </w:t>
      </w:r>
      <w:r w:rsidR="003B1787">
        <w:t>provide</w:t>
      </w:r>
      <w:r w:rsidR="002514B0">
        <w:t xml:space="preserve"> </w:t>
      </w:r>
      <w:r w:rsidR="003B1787">
        <w:t>a</w:t>
      </w:r>
      <w:r w:rsidR="002514B0">
        <w:t xml:space="preserve"> </w:t>
      </w:r>
      <w:r w:rsidR="003B1787">
        <w:t>service</w:t>
      </w:r>
      <w:r w:rsidR="002514B0">
        <w:t xml:space="preserve"> </w:t>
      </w:r>
      <w:r w:rsidR="003B1787">
        <w:t>that</w:t>
      </w:r>
      <w:r w:rsidR="002514B0">
        <w:t xml:space="preserve"> </w:t>
      </w:r>
      <w:r w:rsidR="003B1787">
        <w:t>reduces</w:t>
      </w:r>
      <w:r w:rsidR="002514B0">
        <w:t xml:space="preserve"> </w:t>
      </w:r>
      <w:r w:rsidR="003B1787">
        <w:t>strain</w:t>
      </w:r>
      <w:r w:rsidR="002514B0">
        <w:t xml:space="preserve"> </w:t>
      </w:r>
      <w:r w:rsidR="003B1787">
        <w:t>on</w:t>
      </w:r>
      <w:r w:rsidR="002514B0">
        <w:t xml:space="preserve"> </w:t>
      </w:r>
      <w:r w:rsidR="003B1787">
        <w:t>existing</w:t>
      </w:r>
      <w:r w:rsidR="002514B0">
        <w:t xml:space="preserve"> </w:t>
      </w:r>
      <w:r w:rsidR="00E26D41">
        <w:t xml:space="preserve">municipal </w:t>
      </w:r>
      <w:r w:rsidR="003B1787">
        <w:t>infrastructure</w:t>
      </w:r>
      <w:r w:rsidR="005225DC">
        <w:t>.</w:t>
      </w:r>
      <w:r w:rsidR="00511610" w:rsidRPr="003C7F6D">
        <w:br w:type="page"/>
      </w:r>
    </w:p>
    <w:p w14:paraId="6371CB64" w14:textId="29010CA5" w:rsidR="00511610" w:rsidRPr="003C7F6D" w:rsidRDefault="00511610" w:rsidP="00511610">
      <w:pPr>
        <w:pStyle w:val="BodyText"/>
        <w:spacing w:line="496" w:lineRule="auto"/>
        <w:ind w:left="176" w:right="250" w:hanging="176"/>
        <w:outlineLvl w:val="0"/>
        <w:rPr>
          <w:b/>
          <w:bCs/>
          <w:szCs w:val="24"/>
        </w:rPr>
      </w:pPr>
      <w:bookmarkStart w:id="95" w:name="_Toc16090446"/>
      <w:bookmarkStart w:id="96" w:name="_Toc16165426"/>
      <w:bookmarkStart w:id="97" w:name="_Toc16317741"/>
      <w:bookmarkStart w:id="98" w:name="_Toc16254905"/>
      <w:r w:rsidRPr="003C7F6D">
        <w:rPr>
          <w:b/>
          <w:bCs/>
          <w:szCs w:val="24"/>
        </w:rPr>
        <w:lastRenderedPageBreak/>
        <w:t>Prayer</w:t>
      </w:r>
      <w:r w:rsidR="002514B0">
        <w:rPr>
          <w:b/>
          <w:bCs/>
          <w:szCs w:val="24"/>
        </w:rPr>
        <w:t xml:space="preserve"> </w:t>
      </w:r>
      <w:r w:rsidRPr="003C7F6D">
        <w:rPr>
          <w:b/>
          <w:bCs/>
          <w:szCs w:val="24"/>
        </w:rPr>
        <w:t>for</w:t>
      </w:r>
      <w:r w:rsidR="002514B0">
        <w:rPr>
          <w:b/>
          <w:bCs/>
          <w:szCs w:val="24"/>
        </w:rPr>
        <w:t xml:space="preserve"> </w:t>
      </w:r>
      <w:r w:rsidRPr="003C7F6D">
        <w:rPr>
          <w:b/>
          <w:bCs/>
          <w:szCs w:val="24"/>
        </w:rPr>
        <w:t>Relief</w:t>
      </w:r>
      <w:bookmarkEnd w:id="95"/>
      <w:bookmarkEnd w:id="96"/>
      <w:bookmarkEnd w:id="97"/>
      <w:bookmarkEnd w:id="98"/>
    </w:p>
    <w:p w14:paraId="1F94AD4C" w14:textId="56AD18A8" w:rsidR="00511610" w:rsidRDefault="00511610" w:rsidP="00511610">
      <w:pPr>
        <w:pStyle w:val="BodyText"/>
        <w:spacing w:before="75"/>
        <w:rPr>
          <w:szCs w:val="24"/>
        </w:rPr>
      </w:pPr>
      <w:r w:rsidRPr="003C7F6D">
        <w:rPr>
          <w:szCs w:val="24"/>
        </w:rPr>
        <w:t>BSI</w:t>
      </w:r>
      <w:r w:rsidR="002514B0">
        <w:rPr>
          <w:szCs w:val="24"/>
        </w:rPr>
        <w:t xml:space="preserve"> </w:t>
      </w:r>
      <w:r w:rsidRPr="003C7F6D">
        <w:rPr>
          <w:szCs w:val="24"/>
        </w:rPr>
        <w:t>respectfully</w:t>
      </w:r>
      <w:r w:rsidR="002514B0">
        <w:rPr>
          <w:szCs w:val="24"/>
        </w:rPr>
        <w:t xml:space="preserve"> </w:t>
      </w:r>
      <w:r w:rsidRPr="003C7F6D">
        <w:rPr>
          <w:szCs w:val="24"/>
        </w:rPr>
        <w:t>requests</w:t>
      </w:r>
      <w:r w:rsidR="002514B0">
        <w:rPr>
          <w:szCs w:val="24"/>
        </w:rPr>
        <w:t xml:space="preserve"> </w:t>
      </w:r>
      <w:r w:rsidRPr="003C7F6D">
        <w:rPr>
          <w:szCs w:val="24"/>
        </w:rPr>
        <w:t>that</w:t>
      </w:r>
      <w:r w:rsidR="002514B0">
        <w:rPr>
          <w:szCs w:val="24"/>
        </w:rPr>
        <w:t xml:space="preserve"> </w:t>
      </w:r>
      <w:r w:rsidRPr="003C7F6D">
        <w:rPr>
          <w:szCs w:val="24"/>
        </w:rPr>
        <w:t>the</w:t>
      </w:r>
      <w:r w:rsidR="002514B0">
        <w:rPr>
          <w:szCs w:val="24"/>
        </w:rPr>
        <w:t xml:space="preserve"> </w:t>
      </w:r>
      <w:r w:rsidRPr="003C7F6D">
        <w:rPr>
          <w:szCs w:val="24"/>
        </w:rPr>
        <w:t>New</w:t>
      </w:r>
      <w:r w:rsidR="002514B0">
        <w:rPr>
          <w:szCs w:val="24"/>
        </w:rPr>
        <w:t xml:space="preserve"> </w:t>
      </w:r>
      <w:r w:rsidRPr="003C7F6D">
        <w:rPr>
          <w:szCs w:val="24"/>
        </w:rPr>
        <w:t>Orleans</w:t>
      </w:r>
      <w:r w:rsidR="002514B0">
        <w:rPr>
          <w:szCs w:val="24"/>
        </w:rPr>
        <w:t xml:space="preserve"> </w:t>
      </w:r>
      <w:r w:rsidRPr="003C7F6D">
        <w:rPr>
          <w:szCs w:val="24"/>
        </w:rPr>
        <w:t>City</w:t>
      </w:r>
      <w:r w:rsidR="002514B0">
        <w:rPr>
          <w:szCs w:val="24"/>
        </w:rPr>
        <w:t xml:space="preserve"> </w:t>
      </w:r>
      <w:r w:rsidRPr="003C7F6D">
        <w:rPr>
          <w:szCs w:val="24"/>
        </w:rPr>
        <w:t>Council</w:t>
      </w:r>
      <w:r w:rsidR="002514B0">
        <w:rPr>
          <w:szCs w:val="24"/>
        </w:rPr>
        <w:t xml:space="preserve"> </w:t>
      </w:r>
      <w:r w:rsidRPr="003C7F6D">
        <w:rPr>
          <w:szCs w:val="24"/>
        </w:rPr>
        <w:t>direct</w:t>
      </w:r>
      <w:r w:rsidR="002514B0">
        <w:rPr>
          <w:szCs w:val="24"/>
        </w:rPr>
        <w:t xml:space="preserve"> </w:t>
      </w:r>
      <w:r w:rsidRPr="003C7F6D">
        <w:rPr>
          <w:szCs w:val="24"/>
        </w:rPr>
        <w:t>Entergy</w:t>
      </w:r>
      <w:r w:rsidR="002514B0">
        <w:rPr>
          <w:szCs w:val="24"/>
        </w:rPr>
        <w:t xml:space="preserve"> </w:t>
      </w:r>
      <w:r w:rsidRPr="003C7F6D">
        <w:rPr>
          <w:szCs w:val="24"/>
        </w:rPr>
        <w:t>New</w:t>
      </w:r>
      <w:r w:rsidR="002514B0">
        <w:rPr>
          <w:szCs w:val="24"/>
        </w:rPr>
        <w:t xml:space="preserve"> </w:t>
      </w:r>
      <w:r w:rsidRPr="003C7F6D">
        <w:rPr>
          <w:szCs w:val="24"/>
        </w:rPr>
        <w:t>Orleans,</w:t>
      </w:r>
      <w:r w:rsidR="002514B0">
        <w:rPr>
          <w:szCs w:val="24"/>
        </w:rPr>
        <w:t xml:space="preserve"> </w:t>
      </w:r>
      <w:r w:rsidRPr="003C7F6D">
        <w:rPr>
          <w:szCs w:val="24"/>
        </w:rPr>
        <w:t>Inc.</w:t>
      </w:r>
      <w:r w:rsidR="002514B0">
        <w:rPr>
          <w:szCs w:val="24"/>
        </w:rPr>
        <w:t xml:space="preserve"> </w:t>
      </w:r>
      <w:r w:rsidRPr="003C7F6D">
        <w:rPr>
          <w:szCs w:val="24"/>
        </w:rPr>
        <w:t>to</w:t>
      </w:r>
      <w:r w:rsidR="002514B0">
        <w:rPr>
          <w:szCs w:val="24"/>
        </w:rPr>
        <w:t xml:space="preserve"> </w:t>
      </w:r>
    </w:p>
    <w:p w14:paraId="4997C5C3" w14:textId="7735986C" w:rsidR="000B226F" w:rsidRPr="003C7F6D" w:rsidRDefault="00183DBA" w:rsidP="006F057A">
      <w:pPr>
        <w:pStyle w:val="Heading2"/>
        <w:numPr>
          <w:ilvl w:val="0"/>
          <w:numId w:val="38"/>
        </w:numPr>
      </w:pPr>
      <w:bookmarkStart w:id="99" w:name="_Toc16254906"/>
      <w:bookmarkStart w:id="100" w:name="_Toc16317742"/>
      <w:r>
        <w:t>S</w:t>
      </w:r>
      <w:r w:rsidR="000B226F" w:rsidRPr="003C7F6D">
        <w:t>et</w:t>
      </w:r>
      <w:r w:rsidR="000B226F">
        <w:t xml:space="preserve"> </w:t>
      </w:r>
      <w:r w:rsidR="000B226F" w:rsidRPr="003C7F6D">
        <w:t>up</w:t>
      </w:r>
      <w:r w:rsidR="000B226F">
        <w:t xml:space="preserve"> </w:t>
      </w:r>
      <w:r w:rsidR="000B226F" w:rsidRPr="003C7F6D">
        <w:t>a</w:t>
      </w:r>
      <w:r w:rsidR="000B226F">
        <w:t xml:space="preserve"> </w:t>
      </w:r>
      <w:r w:rsidR="000B226F" w:rsidRPr="003C7F6D">
        <w:t>working</w:t>
      </w:r>
      <w:r w:rsidR="000B226F">
        <w:t xml:space="preserve"> </w:t>
      </w:r>
      <w:r w:rsidR="000B226F" w:rsidRPr="003C7F6D">
        <w:t>group</w:t>
      </w:r>
      <w:r w:rsidR="000B226F">
        <w:t xml:space="preserve"> </w:t>
      </w:r>
      <w:r w:rsidR="000B226F" w:rsidRPr="003C7F6D">
        <w:t>to</w:t>
      </w:r>
      <w:r w:rsidR="000B226F">
        <w:t xml:space="preserve"> </w:t>
      </w:r>
      <w:r w:rsidR="000B226F" w:rsidRPr="003C7F6D">
        <w:t>resolve</w:t>
      </w:r>
      <w:r w:rsidR="000B226F">
        <w:t xml:space="preserve"> </w:t>
      </w:r>
      <w:r w:rsidR="000B226F" w:rsidRPr="003C7F6D">
        <w:t>all</w:t>
      </w:r>
      <w:r w:rsidR="000B226F">
        <w:t xml:space="preserve"> </w:t>
      </w:r>
      <w:r w:rsidR="000B226F" w:rsidRPr="003C7F6D">
        <w:t>the</w:t>
      </w:r>
      <w:r w:rsidR="000B226F">
        <w:t xml:space="preserve"> </w:t>
      </w:r>
      <w:r w:rsidR="000B226F" w:rsidRPr="003C7F6D">
        <w:t>issues</w:t>
      </w:r>
      <w:r w:rsidR="000B226F">
        <w:t xml:space="preserve"> </w:t>
      </w:r>
      <w:r w:rsidR="000B226F" w:rsidRPr="003C7F6D">
        <w:t>that</w:t>
      </w:r>
      <w:r w:rsidR="000B226F">
        <w:t xml:space="preserve"> </w:t>
      </w:r>
      <w:r w:rsidR="000B226F" w:rsidRPr="003C7F6D">
        <w:t>may</w:t>
      </w:r>
      <w:r w:rsidR="000B226F">
        <w:t xml:space="preserve"> </w:t>
      </w:r>
      <w:r w:rsidR="000B226F" w:rsidRPr="003C7F6D">
        <w:t>need</w:t>
      </w:r>
      <w:r w:rsidR="000B226F">
        <w:t xml:space="preserve"> </w:t>
      </w:r>
      <w:r w:rsidR="000B226F" w:rsidRPr="003C7F6D">
        <w:t>to</w:t>
      </w:r>
      <w:r w:rsidR="000B226F">
        <w:t xml:space="preserve"> </w:t>
      </w:r>
      <w:r w:rsidR="000B226F" w:rsidRPr="003C7F6D">
        <w:t>be</w:t>
      </w:r>
      <w:r w:rsidR="000B226F">
        <w:t xml:space="preserve"> </w:t>
      </w:r>
      <w:r w:rsidR="000B226F" w:rsidRPr="003C7F6D">
        <w:t>addressed</w:t>
      </w:r>
      <w:r w:rsidR="000B226F">
        <w:t xml:space="preserve"> </w:t>
      </w:r>
      <w:r w:rsidR="000B226F" w:rsidRPr="003C7F6D">
        <w:t>in</w:t>
      </w:r>
      <w:r w:rsidR="000B226F">
        <w:t xml:space="preserve"> </w:t>
      </w:r>
      <w:r w:rsidR="000B226F" w:rsidRPr="003C7F6D">
        <w:t>implementing</w:t>
      </w:r>
      <w:r w:rsidR="000B226F">
        <w:t xml:space="preserve"> </w:t>
      </w:r>
      <w:r w:rsidR="000B226F" w:rsidRPr="003C7F6D">
        <w:t>CLEP</w:t>
      </w:r>
      <w:bookmarkEnd w:id="99"/>
      <w:r w:rsidR="00D35875">
        <w:t>.</w:t>
      </w:r>
      <w:bookmarkEnd w:id="100"/>
    </w:p>
    <w:p w14:paraId="25C8FAA7" w14:textId="1B1248A0" w:rsidR="00511610" w:rsidRPr="003C7F6D" w:rsidRDefault="00511610" w:rsidP="006F057A">
      <w:pPr>
        <w:pStyle w:val="Heading2"/>
        <w:numPr>
          <w:ilvl w:val="0"/>
          <w:numId w:val="38"/>
        </w:numPr>
      </w:pPr>
      <w:bookmarkStart w:id="101" w:name="_Toc16317743"/>
      <w:bookmarkStart w:id="102" w:name="_Toc16254907"/>
      <w:r w:rsidRPr="003C7F6D">
        <w:t>Implement</w:t>
      </w:r>
      <w:r w:rsidR="002514B0">
        <w:t xml:space="preserve"> </w:t>
      </w:r>
      <w:r w:rsidRPr="003C7F6D">
        <w:t>CLEP</w:t>
      </w:r>
      <w:r w:rsidR="002514B0">
        <w:t xml:space="preserve"> </w:t>
      </w:r>
      <w:r w:rsidRPr="003C7F6D">
        <w:t>as</w:t>
      </w:r>
      <w:r w:rsidR="002514B0">
        <w:t xml:space="preserve"> </w:t>
      </w:r>
      <w:r w:rsidRPr="003C7F6D">
        <w:t>two</w:t>
      </w:r>
      <w:r w:rsidR="002514B0">
        <w:t xml:space="preserve"> </w:t>
      </w:r>
      <w:r w:rsidRPr="003C7F6D">
        <w:t>complementary</w:t>
      </w:r>
      <w:r w:rsidR="002514B0">
        <w:t xml:space="preserve"> </w:t>
      </w:r>
      <w:r w:rsidRPr="003C7F6D">
        <w:t>CLEP5</w:t>
      </w:r>
      <w:r w:rsidR="002514B0">
        <w:t xml:space="preserve"> </w:t>
      </w:r>
      <w:r w:rsidRPr="003C7F6D">
        <w:t>and</w:t>
      </w:r>
      <w:r w:rsidR="002514B0">
        <w:t xml:space="preserve"> </w:t>
      </w:r>
      <w:r w:rsidRPr="003C7F6D">
        <w:t>CLEPm</w:t>
      </w:r>
      <w:r w:rsidR="002514B0">
        <w:t xml:space="preserve"> </w:t>
      </w:r>
      <w:r w:rsidRPr="003C7F6D">
        <w:t>rates</w:t>
      </w:r>
      <w:r w:rsidR="002514B0">
        <w:t xml:space="preserve"> </w:t>
      </w:r>
      <w:r w:rsidRPr="003C7F6D">
        <w:t>and/or</w:t>
      </w:r>
      <w:r w:rsidR="002514B0">
        <w:t xml:space="preserve"> </w:t>
      </w:r>
      <w:r w:rsidRPr="003C7F6D">
        <w:t>tariffs</w:t>
      </w:r>
      <w:r w:rsidR="002514B0">
        <w:t xml:space="preserve"> </w:t>
      </w:r>
      <w:r w:rsidRPr="003C7F6D">
        <w:t>in</w:t>
      </w:r>
      <w:r w:rsidR="002514B0">
        <w:t xml:space="preserve"> </w:t>
      </w:r>
      <w:r w:rsidRPr="003C7F6D">
        <w:t>the</w:t>
      </w:r>
      <w:r w:rsidR="002514B0">
        <w:t xml:space="preserve"> </w:t>
      </w:r>
      <w:r w:rsidRPr="003C7F6D">
        <w:t>form</w:t>
      </w:r>
      <w:r w:rsidR="002514B0">
        <w:t xml:space="preserve"> </w:t>
      </w:r>
      <w:r w:rsidRPr="003C7F6D">
        <w:t>and</w:t>
      </w:r>
      <w:r w:rsidR="002514B0">
        <w:t xml:space="preserve"> </w:t>
      </w:r>
      <w:r w:rsidRPr="003C7F6D">
        <w:t>manner</w:t>
      </w:r>
      <w:r w:rsidR="002514B0">
        <w:t xml:space="preserve"> </w:t>
      </w:r>
      <w:r w:rsidRPr="003C7F6D">
        <w:t>of</w:t>
      </w:r>
      <w:r w:rsidR="002514B0">
        <w:t xml:space="preserve"> </w:t>
      </w:r>
      <w:r w:rsidRPr="003C7F6D">
        <w:t>the</w:t>
      </w:r>
      <w:r w:rsidR="002514B0">
        <w:t xml:space="preserve"> </w:t>
      </w:r>
      <w:r w:rsidRPr="003C7F6D">
        <w:t>formulas</w:t>
      </w:r>
      <w:r w:rsidR="002514B0">
        <w:t xml:space="preserve"> </w:t>
      </w:r>
      <w:r w:rsidRPr="003C7F6D">
        <w:t>set</w:t>
      </w:r>
      <w:r w:rsidR="002514B0">
        <w:t xml:space="preserve"> </w:t>
      </w:r>
      <w:r w:rsidRPr="003C7F6D">
        <w:t>forth</w:t>
      </w:r>
      <w:r w:rsidR="002514B0">
        <w:t xml:space="preserve"> </w:t>
      </w:r>
      <w:r w:rsidRPr="003C7F6D">
        <w:t>in</w:t>
      </w:r>
      <w:r w:rsidR="002514B0">
        <w:t xml:space="preserve"> </w:t>
      </w:r>
      <w:r w:rsidRPr="003C7F6D">
        <w:t>Point</w:t>
      </w:r>
      <w:r w:rsidR="002514B0">
        <w:t xml:space="preserve"> </w:t>
      </w:r>
      <w:r w:rsidRPr="003C7F6D">
        <w:t>8</w:t>
      </w:r>
      <w:r w:rsidR="002514B0">
        <w:t xml:space="preserve"> </w:t>
      </w:r>
      <w:r w:rsidR="002615F7">
        <w:t>of</w:t>
      </w:r>
      <w:r w:rsidR="002514B0">
        <w:t xml:space="preserve"> </w:t>
      </w:r>
      <w:r w:rsidR="002615F7">
        <w:t>BSI’s</w:t>
      </w:r>
      <w:r w:rsidR="002514B0">
        <w:t xml:space="preserve"> </w:t>
      </w:r>
      <w:r w:rsidR="002615F7">
        <w:t>Initial</w:t>
      </w:r>
      <w:r w:rsidR="002514B0">
        <w:t xml:space="preserve"> </w:t>
      </w:r>
      <w:r w:rsidR="002615F7">
        <w:t>Post</w:t>
      </w:r>
      <w:r w:rsidR="002514B0">
        <w:t xml:space="preserve"> </w:t>
      </w:r>
      <w:r w:rsidR="002615F7">
        <w:t>Hearing</w:t>
      </w:r>
      <w:r w:rsidR="002514B0">
        <w:t xml:space="preserve"> </w:t>
      </w:r>
      <w:r w:rsidR="002615F7">
        <w:t>Brief</w:t>
      </w:r>
      <w:r w:rsidR="002514B0">
        <w:t xml:space="preserve"> </w:t>
      </w:r>
      <w:r w:rsidR="002615F7">
        <w:t>and</w:t>
      </w:r>
      <w:r w:rsidR="002514B0">
        <w:t xml:space="preserve"> </w:t>
      </w:r>
      <w:r w:rsidRPr="003C7F6D">
        <w:t>across</w:t>
      </w:r>
      <w:r w:rsidR="002514B0">
        <w:t xml:space="preserve"> </w:t>
      </w:r>
      <w:r w:rsidRPr="003C7F6D">
        <w:t>all</w:t>
      </w:r>
      <w:r w:rsidR="002514B0">
        <w:t xml:space="preserve"> </w:t>
      </w:r>
      <w:r w:rsidRPr="003C7F6D">
        <w:t>customer</w:t>
      </w:r>
      <w:r w:rsidR="002514B0">
        <w:t xml:space="preserve"> </w:t>
      </w:r>
      <w:r w:rsidRPr="003C7F6D">
        <w:t>classes</w:t>
      </w:r>
      <w:r w:rsidR="002514B0">
        <w:t xml:space="preserve"> </w:t>
      </w:r>
      <w:r w:rsidRPr="003C7F6D">
        <w:t>in</w:t>
      </w:r>
      <w:r w:rsidR="002514B0">
        <w:t xml:space="preserve"> </w:t>
      </w:r>
      <w:r w:rsidRPr="003C7F6D">
        <w:t>a</w:t>
      </w:r>
      <w:r w:rsidR="002514B0">
        <w:t xml:space="preserve"> </w:t>
      </w:r>
      <w:r w:rsidRPr="003C7F6D">
        <w:t>mandatory</w:t>
      </w:r>
      <w:r w:rsidR="002514B0">
        <w:t xml:space="preserve"> </w:t>
      </w:r>
      <w:r w:rsidRPr="003C7F6D">
        <w:t>fashion</w:t>
      </w:r>
      <w:r w:rsidR="00395CB1" w:rsidRPr="003C7F6D">
        <w:t>.</w:t>
      </w:r>
      <w:bookmarkEnd w:id="101"/>
      <w:bookmarkEnd w:id="102"/>
    </w:p>
    <w:p w14:paraId="2A449B6E" w14:textId="4E1E6D7C" w:rsidR="00511610" w:rsidRPr="003C7F6D" w:rsidRDefault="00511610" w:rsidP="006F057A">
      <w:pPr>
        <w:pStyle w:val="Heading2"/>
        <w:numPr>
          <w:ilvl w:val="0"/>
          <w:numId w:val="38"/>
        </w:numPr>
      </w:pPr>
      <w:bookmarkStart w:id="103" w:name="_Toc16317744"/>
      <w:bookmarkStart w:id="104" w:name="_Toc16254908"/>
      <w:r w:rsidRPr="003C7F6D">
        <w:t>Alternatively,</w:t>
      </w:r>
      <w:r w:rsidR="002514B0">
        <w:t xml:space="preserve"> </w:t>
      </w:r>
      <w:r w:rsidRPr="003C7F6D">
        <w:t>BSI</w:t>
      </w:r>
      <w:r w:rsidR="002514B0">
        <w:t xml:space="preserve"> </w:t>
      </w:r>
      <w:r w:rsidRPr="003C7F6D">
        <w:t>respectfully</w:t>
      </w:r>
      <w:r w:rsidR="002514B0">
        <w:t xml:space="preserve"> </w:t>
      </w:r>
      <w:r w:rsidRPr="003C7F6D">
        <w:t>requests</w:t>
      </w:r>
      <w:r w:rsidR="002514B0">
        <w:t xml:space="preserve"> </w:t>
      </w:r>
      <w:r w:rsidRPr="003C7F6D">
        <w:t>that</w:t>
      </w:r>
      <w:r w:rsidR="002514B0">
        <w:t xml:space="preserve"> </w:t>
      </w:r>
      <w:r w:rsidRPr="003C7F6D">
        <w:t>the</w:t>
      </w:r>
      <w:r w:rsidR="002514B0">
        <w:t xml:space="preserve"> </w:t>
      </w:r>
      <w:r w:rsidRPr="003C7F6D">
        <w:t>Council</w:t>
      </w:r>
      <w:r w:rsidR="002514B0">
        <w:t xml:space="preserve"> </w:t>
      </w:r>
      <w:r w:rsidRPr="003C7F6D">
        <w:t>direct</w:t>
      </w:r>
      <w:r w:rsidR="002514B0">
        <w:t xml:space="preserve"> </w:t>
      </w:r>
      <w:r w:rsidRPr="003C7F6D">
        <w:t>Entergy</w:t>
      </w:r>
      <w:r w:rsidR="002514B0">
        <w:t xml:space="preserve"> </w:t>
      </w:r>
      <w:r w:rsidRPr="003C7F6D">
        <w:t>to</w:t>
      </w:r>
      <w:r w:rsidR="002514B0">
        <w:t xml:space="preserve"> </w:t>
      </w:r>
      <w:r w:rsidRPr="003C7F6D">
        <w:t>implement</w:t>
      </w:r>
      <w:r w:rsidR="002514B0">
        <w:t xml:space="preserve"> </w:t>
      </w:r>
      <w:r w:rsidRPr="003C7F6D">
        <w:t>CLEP</w:t>
      </w:r>
      <w:r w:rsidR="002514B0">
        <w:t xml:space="preserve"> </w:t>
      </w:r>
      <w:r w:rsidRPr="003C7F6D">
        <w:t>as</w:t>
      </w:r>
      <w:r w:rsidR="002514B0">
        <w:t xml:space="preserve"> </w:t>
      </w:r>
      <w:r w:rsidRPr="003C7F6D">
        <w:t>two</w:t>
      </w:r>
      <w:r w:rsidR="002514B0">
        <w:t xml:space="preserve"> </w:t>
      </w:r>
      <w:r w:rsidRPr="003C7F6D">
        <w:t>complementary</w:t>
      </w:r>
      <w:r w:rsidR="002514B0">
        <w:t xml:space="preserve"> </w:t>
      </w:r>
      <w:r w:rsidRPr="003C7F6D">
        <w:t>CLEP5</w:t>
      </w:r>
      <w:r w:rsidR="002514B0">
        <w:t xml:space="preserve"> </w:t>
      </w:r>
      <w:r w:rsidRPr="003C7F6D">
        <w:t>and</w:t>
      </w:r>
      <w:r w:rsidR="002514B0">
        <w:t xml:space="preserve"> </w:t>
      </w:r>
      <w:r w:rsidRPr="003C7F6D">
        <w:t>CLEPm</w:t>
      </w:r>
      <w:r w:rsidR="002514B0">
        <w:t xml:space="preserve"> </w:t>
      </w:r>
      <w:r w:rsidRPr="003C7F6D">
        <w:t>rates</w:t>
      </w:r>
      <w:r w:rsidR="002514B0">
        <w:t xml:space="preserve"> </w:t>
      </w:r>
      <w:r w:rsidRPr="003C7F6D">
        <w:t>and/or</w:t>
      </w:r>
      <w:r w:rsidR="002514B0">
        <w:t xml:space="preserve"> </w:t>
      </w:r>
      <w:r w:rsidRPr="003C7F6D">
        <w:t>tariffs</w:t>
      </w:r>
      <w:r w:rsidR="002514B0">
        <w:t xml:space="preserve"> </w:t>
      </w:r>
      <w:r w:rsidRPr="003C7F6D">
        <w:t>in</w:t>
      </w:r>
      <w:r w:rsidR="002514B0">
        <w:t xml:space="preserve"> </w:t>
      </w:r>
      <w:r w:rsidRPr="003C7F6D">
        <w:t>the</w:t>
      </w:r>
      <w:r w:rsidR="002514B0">
        <w:t xml:space="preserve"> </w:t>
      </w:r>
      <w:r w:rsidRPr="003C7F6D">
        <w:t>form</w:t>
      </w:r>
      <w:r w:rsidR="002514B0">
        <w:t xml:space="preserve"> </w:t>
      </w:r>
      <w:r w:rsidRPr="003C7F6D">
        <w:t>and</w:t>
      </w:r>
      <w:r w:rsidR="002514B0">
        <w:t xml:space="preserve"> </w:t>
      </w:r>
      <w:r w:rsidRPr="003C7F6D">
        <w:t>manner</w:t>
      </w:r>
      <w:r w:rsidR="002514B0">
        <w:t xml:space="preserve"> </w:t>
      </w:r>
      <w:r w:rsidRPr="003C7F6D">
        <w:t>of</w:t>
      </w:r>
      <w:r w:rsidR="002514B0">
        <w:t xml:space="preserve"> </w:t>
      </w:r>
      <w:r w:rsidRPr="003C7F6D">
        <w:t>the</w:t>
      </w:r>
      <w:r w:rsidR="002514B0">
        <w:t xml:space="preserve"> </w:t>
      </w:r>
      <w:r w:rsidRPr="003C7F6D">
        <w:t>formulas</w:t>
      </w:r>
      <w:r w:rsidR="002514B0">
        <w:t xml:space="preserve"> </w:t>
      </w:r>
      <w:r w:rsidRPr="003C7F6D">
        <w:t>set</w:t>
      </w:r>
      <w:r w:rsidR="002514B0">
        <w:t xml:space="preserve"> </w:t>
      </w:r>
      <w:r w:rsidRPr="003C7F6D">
        <w:t>forth</w:t>
      </w:r>
      <w:r w:rsidR="002514B0">
        <w:t xml:space="preserve"> </w:t>
      </w:r>
      <w:r w:rsidRPr="003C7F6D">
        <w:t>in</w:t>
      </w:r>
      <w:r w:rsidR="002514B0">
        <w:t xml:space="preserve"> </w:t>
      </w:r>
      <w:r w:rsidRPr="003C7F6D">
        <w:t>Point</w:t>
      </w:r>
      <w:r w:rsidR="002514B0">
        <w:t xml:space="preserve"> </w:t>
      </w:r>
      <w:r w:rsidRPr="003C7F6D">
        <w:t>8</w:t>
      </w:r>
      <w:r w:rsidR="002514B0">
        <w:t xml:space="preserve"> </w:t>
      </w:r>
      <w:r w:rsidRPr="003C7F6D">
        <w:t>above</w:t>
      </w:r>
      <w:r w:rsidR="002514B0">
        <w:t xml:space="preserve"> </w:t>
      </w:r>
      <w:r w:rsidRPr="003C7F6D">
        <w:t>and</w:t>
      </w:r>
      <w:r w:rsidR="002514B0">
        <w:t xml:space="preserve"> </w:t>
      </w:r>
      <w:r w:rsidRPr="003C7F6D">
        <w:t>to</w:t>
      </w:r>
      <w:r w:rsidR="002514B0">
        <w:t xml:space="preserve"> </w:t>
      </w:r>
      <w:r w:rsidRPr="003C7F6D">
        <w:t>make</w:t>
      </w:r>
      <w:r w:rsidR="002514B0">
        <w:t xml:space="preserve"> </w:t>
      </w:r>
      <w:r w:rsidRPr="003C7F6D">
        <w:t>them</w:t>
      </w:r>
      <w:r w:rsidR="002514B0">
        <w:t xml:space="preserve"> </w:t>
      </w:r>
      <w:r w:rsidRPr="003C7F6D">
        <w:t>available</w:t>
      </w:r>
      <w:r w:rsidR="002514B0">
        <w:t xml:space="preserve"> </w:t>
      </w:r>
      <w:r w:rsidRPr="003C7F6D">
        <w:t>to</w:t>
      </w:r>
      <w:r w:rsidR="002514B0">
        <w:t xml:space="preserve"> </w:t>
      </w:r>
      <w:r w:rsidRPr="003C7F6D">
        <w:t>all</w:t>
      </w:r>
      <w:r w:rsidR="002514B0">
        <w:t xml:space="preserve"> </w:t>
      </w:r>
      <w:r w:rsidRPr="003C7F6D">
        <w:t>customers</w:t>
      </w:r>
      <w:r w:rsidR="002514B0">
        <w:t xml:space="preserve"> </w:t>
      </w:r>
      <w:r w:rsidRPr="003C7F6D">
        <w:t>who</w:t>
      </w:r>
      <w:r w:rsidR="002514B0">
        <w:t xml:space="preserve"> </w:t>
      </w:r>
      <w:r w:rsidRPr="003C7F6D">
        <w:t>desire</w:t>
      </w:r>
      <w:r w:rsidR="002514B0">
        <w:t xml:space="preserve"> </w:t>
      </w:r>
      <w:r w:rsidRPr="003C7F6D">
        <w:t>to</w:t>
      </w:r>
      <w:r w:rsidR="002514B0">
        <w:t xml:space="preserve"> </w:t>
      </w:r>
      <w:r w:rsidRPr="003C7F6D">
        <w:t>avail</w:t>
      </w:r>
      <w:r w:rsidR="002514B0">
        <w:t xml:space="preserve"> </w:t>
      </w:r>
      <w:r w:rsidRPr="003C7F6D">
        <w:t>themselves</w:t>
      </w:r>
      <w:r w:rsidR="002514B0">
        <w:t xml:space="preserve"> </w:t>
      </w:r>
      <w:r w:rsidRPr="003C7F6D">
        <w:t>of</w:t>
      </w:r>
      <w:r w:rsidR="002514B0">
        <w:t xml:space="preserve"> </w:t>
      </w:r>
      <w:r w:rsidRPr="003C7F6D">
        <w:t>CLEP</w:t>
      </w:r>
      <w:r w:rsidR="002514B0">
        <w:t xml:space="preserve"> </w:t>
      </w:r>
      <w:r w:rsidRPr="003C7F6D">
        <w:t>on</w:t>
      </w:r>
      <w:r w:rsidR="002514B0">
        <w:t xml:space="preserve"> </w:t>
      </w:r>
      <w:r w:rsidRPr="003C7F6D">
        <w:t>an</w:t>
      </w:r>
      <w:r w:rsidR="002514B0">
        <w:t xml:space="preserve"> </w:t>
      </w:r>
      <w:r w:rsidRPr="003C7F6D">
        <w:t>OPT-IN</w:t>
      </w:r>
      <w:r w:rsidR="002514B0">
        <w:t xml:space="preserve"> </w:t>
      </w:r>
      <w:r w:rsidRPr="003C7F6D">
        <w:t>basis.</w:t>
      </w:r>
      <w:bookmarkEnd w:id="103"/>
      <w:bookmarkEnd w:id="104"/>
      <w:r w:rsidR="002514B0">
        <w:t xml:space="preserve"> </w:t>
      </w:r>
    </w:p>
    <w:p w14:paraId="250B9EBC" w14:textId="6DA77060" w:rsidR="00511610" w:rsidRPr="006F057A" w:rsidRDefault="00511610" w:rsidP="006F057A">
      <w:pPr>
        <w:pStyle w:val="Heading2"/>
        <w:numPr>
          <w:ilvl w:val="0"/>
          <w:numId w:val="38"/>
        </w:numPr>
        <w:rPr>
          <w:rStyle w:val="Heading2Char"/>
        </w:rPr>
      </w:pPr>
      <w:bookmarkStart w:id="105" w:name="_Toc16317745"/>
      <w:bookmarkStart w:id="106" w:name="_Toc16254909"/>
      <w:r w:rsidRPr="006F057A">
        <w:rPr>
          <w:rStyle w:val="Heading2Char"/>
        </w:rPr>
        <w:t>Alternatively,</w:t>
      </w:r>
      <w:r w:rsidR="002514B0" w:rsidRPr="006F057A">
        <w:rPr>
          <w:rStyle w:val="Heading2Char"/>
        </w:rPr>
        <w:t xml:space="preserve"> </w:t>
      </w:r>
      <w:r w:rsidRPr="006F057A">
        <w:rPr>
          <w:rStyle w:val="Heading2Char"/>
        </w:rPr>
        <w:t>BSI</w:t>
      </w:r>
      <w:r w:rsidR="002514B0" w:rsidRPr="006F057A">
        <w:rPr>
          <w:rStyle w:val="Heading2Char"/>
        </w:rPr>
        <w:t xml:space="preserve"> </w:t>
      </w:r>
      <w:r w:rsidRPr="006F057A">
        <w:rPr>
          <w:rStyle w:val="Heading2Char"/>
        </w:rPr>
        <w:t>respectfully</w:t>
      </w:r>
      <w:r w:rsidR="002514B0" w:rsidRPr="006F057A">
        <w:rPr>
          <w:rStyle w:val="Heading2Char"/>
        </w:rPr>
        <w:t xml:space="preserve"> </w:t>
      </w:r>
      <w:r w:rsidRPr="006F057A">
        <w:rPr>
          <w:rStyle w:val="Heading2Char"/>
        </w:rPr>
        <w:t>requests</w:t>
      </w:r>
      <w:r w:rsidR="002514B0" w:rsidRPr="006F057A">
        <w:rPr>
          <w:rStyle w:val="Heading2Char"/>
        </w:rPr>
        <w:t xml:space="preserve"> </w:t>
      </w:r>
      <w:r w:rsidRPr="006F057A">
        <w:rPr>
          <w:rStyle w:val="Heading2Char"/>
        </w:rPr>
        <w:t>that</w:t>
      </w:r>
      <w:r w:rsidR="002514B0" w:rsidRPr="006F057A">
        <w:rPr>
          <w:rStyle w:val="Heading2Char"/>
        </w:rPr>
        <w:t xml:space="preserve"> </w:t>
      </w:r>
      <w:r w:rsidRPr="006F057A">
        <w:rPr>
          <w:rStyle w:val="Heading2Char"/>
        </w:rPr>
        <w:t>the</w:t>
      </w:r>
      <w:r w:rsidR="002514B0" w:rsidRPr="006F057A">
        <w:rPr>
          <w:rStyle w:val="Heading2Char"/>
        </w:rPr>
        <w:t xml:space="preserve"> </w:t>
      </w:r>
      <w:r w:rsidRPr="006F057A">
        <w:rPr>
          <w:rStyle w:val="Heading2Char"/>
        </w:rPr>
        <w:t>Council</w:t>
      </w:r>
      <w:r w:rsidR="002514B0" w:rsidRPr="006F057A">
        <w:rPr>
          <w:rStyle w:val="Heading2Char"/>
        </w:rPr>
        <w:t xml:space="preserve"> </w:t>
      </w:r>
      <w:r w:rsidRPr="006F057A">
        <w:rPr>
          <w:rStyle w:val="Heading2Char"/>
        </w:rPr>
        <w:t>initiate</w:t>
      </w:r>
      <w:r w:rsidR="002514B0" w:rsidRPr="006F057A">
        <w:rPr>
          <w:rStyle w:val="Heading2Char"/>
        </w:rPr>
        <w:t xml:space="preserve"> </w:t>
      </w:r>
      <w:r w:rsidRPr="006F057A">
        <w:rPr>
          <w:rStyle w:val="Heading2Char"/>
        </w:rPr>
        <w:t>a</w:t>
      </w:r>
      <w:r w:rsidR="002514B0" w:rsidRPr="006F057A">
        <w:rPr>
          <w:rStyle w:val="Heading2Char"/>
        </w:rPr>
        <w:t xml:space="preserve"> </w:t>
      </w:r>
      <w:r w:rsidRPr="006F057A">
        <w:rPr>
          <w:rStyle w:val="Heading2Char"/>
        </w:rPr>
        <w:t>new</w:t>
      </w:r>
      <w:r w:rsidR="002514B0" w:rsidRPr="006F057A">
        <w:rPr>
          <w:rStyle w:val="Heading2Char"/>
        </w:rPr>
        <w:t xml:space="preserve"> </w:t>
      </w:r>
      <w:r w:rsidRPr="006F057A">
        <w:rPr>
          <w:rStyle w:val="Heading2Char"/>
        </w:rPr>
        <w:t>docket,</w:t>
      </w:r>
      <w:r w:rsidR="002514B0" w:rsidRPr="006F057A">
        <w:rPr>
          <w:rStyle w:val="Heading2Char"/>
        </w:rPr>
        <w:t xml:space="preserve"> </w:t>
      </w:r>
      <w:r w:rsidRPr="006F057A">
        <w:rPr>
          <w:rStyle w:val="Heading2Char"/>
        </w:rPr>
        <w:t>or</w:t>
      </w:r>
      <w:r w:rsidR="002514B0" w:rsidRPr="006F057A">
        <w:rPr>
          <w:rStyle w:val="Heading2Char"/>
        </w:rPr>
        <w:t xml:space="preserve"> </w:t>
      </w:r>
      <w:r w:rsidRPr="006F057A">
        <w:rPr>
          <w:rStyle w:val="Heading2Char"/>
        </w:rPr>
        <w:t>sub-docket,</w:t>
      </w:r>
      <w:r w:rsidR="002514B0" w:rsidRPr="006F057A">
        <w:rPr>
          <w:rStyle w:val="Heading2Char"/>
        </w:rPr>
        <w:t xml:space="preserve"> </w:t>
      </w:r>
      <w:r w:rsidRPr="006F057A">
        <w:rPr>
          <w:rStyle w:val="Heading2Char"/>
        </w:rPr>
        <w:t>to</w:t>
      </w:r>
      <w:r w:rsidR="002514B0" w:rsidRPr="006F057A">
        <w:rPr>
          <w:rStyle w:val="Heading2Char"/>
        </w:rPr>
        <w:t xml:space="preserve"> </w:t>
      </w:r>
      <w:r w:rsidRPr="006F057A">
        <w:rPr>
          <w:rStyle w:val="Heading2Char"/>
        </w:rPr>
        <w:t>implement</w:t>
      </w:r>
      <w:r w:rsidR="002514B0" w:rsidRPr="006F057A">
        <w:rPr>
          <w:rStyle w:val="Heading2Char"/>
        </w:rPr>
        <w:t xml:space="preserve"> </w:t>
      </w:r>
      <w:r w:rsidRPr="006F057A">
        <w:rPr>
          <w:rStyle w:val="Heading2Char"/>
        </w:rPr>
        <w:t>CLEP</w:t>
      </w:r>
      <w:r w:rsidR="002514B0" w:rsidRPr="006F057A">
        <w:rPr>
          <w:rStyle w:val="Heading2Char"/>
        </w:rPr>
        <w:t xml:space="preserve"> </w:t>
      </w:r>
      <w:r w:rsidRPr="006F057A">
        <w:rPr>
          <w:rStyle w:val="Heading2Char"/>
        </w:rPr>
        <w:t>as</w:t>
      </w:r>
      <w:r w:rsidR="002514B0" w:rsidRPr="006F057A">
        <w:rPr>
          <w:rStyle w:val="Heading2Char"/>
        </w:rPr>
        <w:t xml:space="preserve"> </w:t>
      </w:r>
      <w:r w:rsidRPr="006F057A">
        <w:rPr>
          <w:rStyle w:val="Heading2Char"/>
        </w:rPr>
        <w:t>soon</w:t>
      </w:r>
      <w:r w:rsidR="002514B0" w:rsidRPr="006F057A">
        <w:rPr>
          <w:rStyle w:val="Heading2Char"/>
        </w:rPr>
        <w:t xml:space="preserve"> </w:t>
      </w:r>
      <w:r w:rsidRPr="006F057A">
        <w:rPr>
          <w:rStyle w:val="Heading2Char"/>
        </w:rPr>
        <w:t>as</w:t>
      </w:r>
      <w:r w:rsidR="002514B0" w:rsidRPr="006F057A">
        <w:rPr>
          <w:rStyle w:val="Heading2Char"/>
        </w:rPr>
        <w:t xml:space="preserve"> </w:t>
      </w:r>
      <w:r w:rsidRPr="006F057A">
        <w:rPr>
          <w:rStyle w:val="Heading2Char"/>
        </w:rPr>
        <w:t>practical.</w:t>
      </w:r>
      <w:bookmarkEnd w:id="105"/>
      <w:bookmarkEnd w:id="106"/>
      <w:r w:rsidR="002514B0" w:rsidRPr="006F057A">
        <w:rPr>
          <w:rStyle w:val="Heading2Char"/>
        </w:rPr>
        <w:t xml:space="preserve"> </w:t>
      </w:r>
    </w:p>
    <w:p w14:paraId="164FC9B1" w14:textId="107ED3D1" w:rsidR="00511610" w:rsidRPr="003C7F6D" w:rsidRDefault="002514B0" w:rsidP="00511610">
      <w:pPr>
        <w:pStyle w:val="BodyText"/>
        <w:spacing w:before="75"/>
        <w:ind w:left="4176"/>
        <w:rPr>
          <w:b/>
          <w:bCs/>
          <w:w w:val="105"/>
          <w:szCs w:val="24"/>
        </w:rPr>
      </w:pPr>
      <w:r>
        <w:rPr>
          <w:rFonts w:ascii="Arial" w:hAnsi="Arial" w:cs="Arial"/>
          <w:b/>
          <w:bCs/>
          <w:shd w:val="clear" w:color="auto" w:fill="FFFFFF"/>
        </w:rPr>
        <w:t xml:space="preserve"> </w:t>
      </w:r>
      <w:r w:rsidR="00511610" w:rsidRPr="003C7F6D">
        <w:rPr>
          <w:b/>
          <w:bCs/>
          <w:w w:val="105"/>
          <w:szCs w:val="24"/>
        </w:rPr>
        <w:t>RESPECTFULLY</w:t>
      </w:r>
      <w:r>
        <w:rPr>
          <w:b/>
          <w:bCs/>
          <w:w w:val="105"/>
          <w:szCs w:val="24"/>
        </w:rPr>
        <w:t xml:space="preserve"> </w:t>
      </w:r>
      <w:r w:rsidR="00511610" w:rsidRPr="003C7F6D">
        <w:rPr>
          <w:b/>
          <w:bCs/>
          <w:w w:val="105"/>
          <w:szCs w:val="24"/>
        </w:rPr>
        <w:t>SUBMITTED:</w:t>
      </w:r>
    </w:p>
    <w:p w14:paraId="0DF93B2F" w14:textId="77777777" w:rsidR="00511610" w:rsidRPr="003C7F6D" w:rsidRDefault="00511610" w:rsidP="00511610">
      <w:pPr>
        <w:pStyle w:val="BodyText"/>
        <w:spacing w:before="75"/>
        <w:ind w:left="4176"/>
        <w:rPr>
          <w:b/>
          <w:bCs/>
          <w:szCs w:val="24"/>
        </w:rPr>
      </w:pPr>
      <w:r w:rsidRPr="003C7F6D">
        <w:rPr>
          <w:b/>
          <w:bCs/>
          <w:noProof/>
          <w:w w:val="105"/>
          <w:szCs w:val="24"/>
          <w:u w:val="thick" w:color="151515"/>
        </w:rPr>
        <w:drawing>
          <wp:anchor distT="0" distB="0" distL="114300" distR="114300" simplePos="0" relativeHeight="251647488" behindDoc="1" locked="0" layoutInCell="1" allowOverlap="1" wp14:anchorId="789925FC" wp14:editId="26531CB3">
            <wp:simplePos x="0" y="0"/>
            <wp:positionH relativeFrom="column">
              <wp:posOffset>2590395</wp:posOffset>
            </wp:positionH>
            <wp:positionV relativeFrom="paragraph">
              <wp:posOffset>140646</wp:posOffset>
            </wp:positionV>
            <wp:extent cx="3054350" cy="812800"/>
            <wp:effectExtent l="57150" t="0" r="50800" b="12065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Tifft1stSignature.JPG"/>
                    <pic:cNvPicPr/>
                  </pic:nvPicPr>
                  <pic:blipFill>
                    <a:blip r:embed="rId12">
                      <a:extLst>
                        <a:ext uri="{28A0092B-C50C-407E-A947-70E740481C1C}">
                          <a14:useLocalDpi xmlns:a14="http://schemas.microsoft.com/office/drawing/2010/main" val="0"/>
                        </a:ext>
                      </a:extLst>
                    </a:blip>
                    <a:stretch>
                      <a:fillRect/>
                    </a:stretch>
                  </pic:blipFill>
                  <pic:spPr>
                    <a:xfrm>
                      <a:off x="0" y="0"/>
                      <a:ext cx="3054350" cy="812800"/>
                    </a:xfrm>
                    <a:prstGeom prst="rect">
                      <a:avLst/>
                    </a:prstGeom>
                    <a:noFill/>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p>
    <w:p w14:paraId="2D60302D" w14:textId="77777777" w:rsidR="00511610" w:rsidRPr="003C7F6D" w:rsidRDefault="00511610" w:rsidP="00511610">
      <w:pPr>
        <w:pStyle w:val="BodyText"/>
        <w:ind w:right="730"/>
        <w:jc w:val="right"/>
        <w:rPr>
          <w:b/>
          <w:bCs/>
          <w:szCs w:val="24"/>
        </w:rPr>
      </w:pPr>
    </w:p>
    <w:p w14:paraId="5E24E75E" w14:textId="77D612AD" w:rsidR="00511610" w:rsidRPr="003C7F6D" w:rsidRDefault="00511610" w:rsidP="00511610">
      <w:pPr>
        <w:spacing w:line="240" w:lineRule="auto"/>
        <w:ind w:left="3600" w:firstLine="720"/>
        <w:contextualSpacing/>
        <w:jc w:val="both"/>
        <w:rPr>
          <w:b/>
          <w:bCs/>
          <w:sz w:val="24"/>
          <w:szCs w:val="24"/>
        </w:rPr>
      </w:pPr>
      <w:r w:rsidRPr="003C7F6D">
        <w:rPr>
          <w:b/>
          <w:bCs/>
          <w:sz w:val="24"/>
          <w:szCs w:val="24"/>
        </w:rPr>
        <w:t>Michael</w:t>
      </w:r>
      <w:r w:rsidR="002514B0">
        <w:rPr>
          <w:b/>
          <w:bCs/>
          <w:sz w:val="24"/>
          <w:szCs w:val="24"/>
        </w:rPr>
        <w:t xml:space="preserve"> </w:t>
      </w:r>
      <w:r w:rsidRPr="003C7F6D">
        <w:rPr>
          <w:b/>
          <w:bCs/>
          <w:sz w:val="24"/>
          <w:szCs w:val="24"/>
        </w:rPr>
        <w:t>W.</w:t>
      </w:r>
      <w:r w:rsidR="002514B0">
        <w:rPr>
          <w:b/>
          <w:bCs/>
          <w:sz w:val="24"/>
          <w:szCs w:val="24"/>
        </w:rPr>
        <w:t xml:space="preserve"> </w:t>
      </w:r>
      <w:r w:rsidRPr="003C7F6D">
        <w:rPr>
          <w:b/>
          <w:bCs/>
          <w:sz w:val="24"/>
          <w:szCs w:val="24"/>
        </w:rPr>
        <w:t>Tifft</w:t>
      </w:r>
    </w:p>
    <w:p w14:paraId="48CCE3C1" w14:textId="4D07BAF8" w:rsidR="00511610" w:rsidRPr="003C7F6D" w:rsidRDefault="00511610" w:rsidP="00511610">
      <w:pPr>
        <w:spacing w:line="240" w:lineRule="auto"/>
        <w:ind w:left="3600" w:firstLine="720"/>
        <w:contextualSpacing/>
        <w:jc w:val="both"/>
        <w:rPr>
          <w:b/>
          <w:bCs/>
          <w:sz w:val="24"/>
          <w:szCs w:val="24"/>
        </w:rPr>
      </w:pPr>
      <w:r w:rsidRPr="003C7F6D">
        <w:rPr>
          <w:b/>
          <w:bCs/>
          <w:sz w:val="24"/>
          <w:szCs w:val="24"/>
        </w:rPr>
        <w:t>Law</w:t>
      </w:r>
      <w:r w:rsidR="002514B0">
        <w:rPr>
          <w:b/>
          <w:bCs/>
          <w:sz w:val="24"/>
          <w:szCs w:val="24"/>
        </w:rPr>
        <w:t xml:space="preserve"> </w:t>
      </w:r>
      <w:r w:rsidRPr="003C7F6D">
        <w:rPr>
          <w:b/>
          <w:bCs/>
          <w:sz w:val="24"/>
          <w:szCs w:val="24"/>
        </w:rPr>
        <w:t>Office</w:t>
      </w:r>
      <w:r w:rsidR="002514B0">
        <w:rPr>
          <w:b/>
          <w:bCs/>
          <w:sz w:val="24"/>
          <w:szCs w:val="24"/>
        </w:rPr>
        <w:t xml:space="preserve"> </w:t>
      </w:r>
      <w:r w:rsidRPr="003C7F6D">
        <w:rPr>
          <w:b/>
          <w:bCs/>
          <w:sz w:val="24"/>
          <w:szCs w:val="24"/>
        </w:rPr>
        <w:t>of</w:t>
      </w:r>
      <w:r w:rsidR="002514B0">
        <w:rPr>
          <w:b/>
          <w:bCs/>
          <w:sz w:val="24"/>
          <w:szCs w:val="24"/>
        </w:rPr>
        <w:t xml:space="preserve"> </w:t>
      </w:r>
      <w:r w:rsidRPr="003C7F6D">
        <w:rPr>
          <w:b/>
          <w:bCs/>
          <w:sz w:val="24"/>
          <w:szCs w:val="24"/>
        </w:rPr>
        <w:t>Michael</w:t>
      </w:r>
      <w:r w:rsidR="002514B0">
        <w:rPr>
          <w:b/>
          <w:bCs/>
          <w:sz w:val="24"/>
          <w:szCs w:val="24"/>
        </w:rPr>
        <w:t xml:space="preserve"> </w:t>
      </w:r>
      <w:r w:rsidRPr="003C7F6D">
        <w:rPr>
          <w:b/>
          <w:bCs/>
          <w:sz w:val="24"/>
          <w:szCs w:val="24"/>
        </w:rPr>
        <w:t>W.</w:t>
      </w:r>
      <w:r w:rsidR="002514B0">
        <w:rPr>
          <w:b/>
          <w:bCs/>
          <w:sz w:val="24"/>
          <w:szCs w:val="24"/>
        </w:rPr>
        <w:t xml:space="preserve"> </w:t>
      </w:r>
      <w:r w:rsidRPr="003C7F6D">
        <w:rPr>
          <w:b/>
          <w:bCs/>
          <w:sz w:val="24"/>
          <w:szCs w:val="24"/>
        </w:rPr>
        <w:t>Tifft</w:t>
      </w:r>
    </w:p>
    <w:p w14:paraId="774A3E73" w14:textId="6105D51E" w:rsidR="00511610" w:rsidRPr="003C7F6D" w:rsidRDefault="00511610" w:rsidP="00511610">
      <w:pPr>
        <w:spacing w:line="240" w:lineRule="auto"/>
        <w:ind w:left="3600" w:firstLine="720"/>
        <w:contextualSpacing/>
        <w:jc w:val="both"/>
        <w:rPr>
          <w:b/>
          <w:bCs/>
          <w:sz w:val="24"/>
          <w:szCs w:val="24"/>
        </w:rPr>
      </w:pPr>
      <w:r w:rsidRPr="003C7F6D">
        <w:rPr>
          <w:b/>
          <w:bCs/>
          <w:sz w:val="24"/>
          <w:szCs w:val="24"/>
        </w:rPr>
        <w:t>710</w:t>
      </w:r>
      <w:r w:rsidR="002514B0">
        <w:rPr>
          <w:b/>
          <w:bCs/>
          <w:sz w:val="24"/>
          <w:szCs w:val="24"/>
        </w:rPr>
        <w:t xml:space="preserve"> </w:t>
      </w:r>
      <w:r w:rsidRPr="003C7F6D">
        <w:rPr>
          <w:b/>
          <w:bCs/>
          <w:sz w:val="24"/>
          <w:szCs w:val="24"/>
        </w:rPr>
        <w:t>Carondelet</w:t>
      </w:r>
      <w:r w:rsidR="002514B0">
        <w:rPr>
          <w:b/>
          <w:bCs/>
          <w:sz w:val="24"/>
          <w:szCs w:val="24"/>
        </w:rPr>
        <w:t xml:space="preserve"> </w:t>
      </w:r>
      <w:r w:rsidRPr="003C7F6D">
        <w:rPr>
          <w:b/>
          <w:bCs/>
          <w:sz w:val="24"/>
          <w:szCs w:val="24"/>
        </w:rPr>
        <w:t>Street</w:t>
      </w:r>
    </w:p>
    <w:p w14:paraId="764AABB9" w14:textId="046E9F90" w:rsidR="00511610" w:rsidRPr="003C7F6D" w:rsidRDefault="00511610" w:rsidP="00511610">
      <w:pPr>
        <w:spacing w:line="240" w:lineRule="auto"/>
        <w:ind w:left="3600" w:firstLine="720"/>
        <w:contextualSpacing/>
        <w:jc w:val="both"/>
        <w:rPr>
          <w:b/>
          <w:bCs/>
          <w:sz w:val="24"/>
          <w:szCs w:val="24"/>
        </w:rPr>
      </w:pPr>
      <w:r w:rsidRPr="003C7F6D">
        <w:rPr>
          <w:b/>
          <w:bCs/>
          <w:sz w:val="24"/>
          <w:szCs w:val="24"/>
        </w:rPr>
        <w:t>New</w:t>
      </w:r>
      <w:r w:rsidR="002514B0">
        <w:rPr>
          <w:b/>
          <w:bCs/>
          <w:sz w:val="24"/>
          <w:szCs w:val="24"/>
        </w:rPr>
        <w:t xml:space="preserve"> </w:t>
      </w:r>
      <w:r w:rsidRPr="003C7F6D">
        <w:rPr>
          <w:b/>
          <w:bCs/>
          <w:sz w:val="24"/>
          <w:szCs w:val="24"/>
        </w:rPr>
        <w:t>Orleans,</w:t>
      </w:r>
      <w:r w:rsidR="002514B0">
        <w:rPr>
          <w:b/>
          <w:bCs/>
          <w:sz w:val="24"/>
          <w:szCs w:val="24"/>
        </w:rPr>
        <w:t xml:space="preserve"> </w:t>
      </w:r>
      <w:r w:rsidRPr="003C7F6D">
        <w:rPr>
          <w:b/>
          <w:bCs/>
          <w:sz w:val="24"/>
          <w:szCs w:val="24"/>
        </w:rPr>
        <w:t>LA</w:t>
      </w:r>
      <w:r w:rsidR="002514B0">
        <w:rPr>
          <w:b/>
          <w:bCs/>
          <w:sz w:val="24"/>
          <w:szCs w:val="24"/>
        </w:rPr>
        <w:t xml:space="preserve"> </w:t>
      </w:r>
      <w:r w:rsidRPr="003C7F6D">
        <w:rPr>
          <w:b/>
          <w:bCs/>
          <w:sz w:val="24"/>
          <w:szCs w:val="24"/>
        </w:rPr>
        <w:t>70130</w:t>
      </w:r>
    </w:p>
    <w:p w14:paraId="29AAD26B" w14:textId="530AE8B4" w:rsidR="00511610" w:rsidRPr="003C7F6D" w:rsidRDefault="00511610" w:rsidP="00511610">
      <w:pPr>
        <w:spacing w:line="240" w:lineRule="auto"/>
        <w:ind w:left="3600" w:firstLine="720"/>
        <w:contextualSpacing/>
        <w:jc w:val="both"/>
        <w:rPr>
          <w:b/>
          <w:bCs/>
          <w:sz w:val="24"/>
          <w:szCs w:val="24"/>
        </w:rPr>
      </w:pPr>
      <w:r w:rsidRPr="003C7F6D">
        <w:rPr>
          <w:b/>
          <w:bCs/>
          <w:sz w:val="24"/>
          <w:szCs w:val="24"/>
        </w:rPr>
        <w:t>(504)</w:t>
      </w:r>
      <w:r w:rsidR="002514B0">
        <w:rPr>
          <w:b/>
          <w:bCs/>
          <w:sz w:val="24"/>
          <w:szCs w:val="24"/>
        </w:rPr>
        <w:t xml:space="preserve"> </w:t>
      </w:r>
      <w:r w:rsidRPr="003C7F6D">
        <w:rPr>
          <w:b/>
          <w:bCs/>
          <w:sz w:val="24"/>
          <w:szCs w:val="24"/>
        </w:rPr>
        <w:t>581-4334</w:t>
      </w:r>
    </w:p>
    <w:p w14:paraId="1957103D" w14:textId="7711E3C8" w:rsidR="00511610" w:rsidRPr="003C7F6D" w:rsidRDefault="00511610" w:rsidP="00511610">
      <w:pPr>
        <w:spacing w:before="2" w:line="240" w:lineRule="auto"/>
        <w:ind w:left="3600" w:firstLine="720"/>
        <w:contextualSpacing/>
        <w:jc w:val="both"/>
        <w:rPr>
          <w:b/>
          <w:bCs/>
          <w:i/>
          <w:iCs/>
          <w:sz w:val="24"/>
          <w:szCs w:val="24"/>
        </w:rPr>
      </w:pPr>
      <w:r w:rsidRPr="003C7F6D">
        <w:rPr>
          <w:b/>
          <w:bCs/>
          <w:i/>
          <w:sz w:val="24"/>
          <w:szCs w:val="24"/>
        </w:rPr>
        <w:t>Attorney</w:t>
      </w:r>
      <w:r w:rsidR="002514B0">
        <w:rPr>
          <w:b/>
          <w:bCs/>
          <w:i/>
          <w:sz w:val="24"/>
          <w:szCs w:val="24"/>
        </w:rPr>
        <w:t xml:space="preserve"> </w:t>
      </w:r>
      <w:r w:rsidRPr="003C7F6D">
        <w:rPr>
          <w:b/>
          <w:bCs/>
          <w:i/>
          <w:sz w:val="24"/>
          <w:szCs w:val="24"/>
        </w:rPr>
        <w:t>for</w:t>
      </w:r>
      <w:r w:rsidR="002514B0">
        <w:rPr>
          <w:b/>
          <w:bCs/>
          <w:i/>
          <w:sz w:val="24"/>
          <w:szCs w:val="24"/>
        </w:rPr>
        <w:t xml:space="preserve"> </w:t>
      </w:r>
      <w:r w:rsidRPr="003C7F6D">
        <w:rPr>
          <w:b/>
          <w:bCs/>
          <w:i/>
          <w:iCs/>
          <w:w w:val="105"/>
          <w:sz w:val="24"/>
          <w:szCs w:val="24"/>
        </w:rPr>
        <w:t>Building</w:t>
      </w:r>
      <w:r w:rsidR="002514B0">
        <w:rPr>
          <w:b/>
          <w:bCs/>
          <w:i/>
          <w:iCs/>
          <w:w w:val="105"/>
          <w:sz w:val="24"/>
          <w:szCs w:val="24"/>
        </w:rPr>
        <w:t xml:space="preserve"> </w:t>
      </w:r>
      <w:r w:rsidRPr="003C7F6D">
        <w:rPr>
          <w:b/>
          <w:bCs/>
          <w:i/>
          <w:iCs/>
          <w:w w:val="105"/>
          <w:sz w:val="24"/>
          <w:szCs w:val="24"/>
        </w:rPr>
        <w:t>Science</w:t>
      </w:r>
      <w:r w:rsidR="002514B0">
        <w:rPr>
          <w:b/>
          <w:bCs/>
          <w:i/>
          <w:iCs/>
          <w:w w:val="105"/>
          <w:sz w:val="24"/>
          <w:szCs w:val="24"/>
        </w:rPr>
        <w:t xml:space="preserve"> </w:t>
      </w:r>
      <w:r w:rsidRPr="003C7F6D">
        <w:rPr>
          <w:b/>
          <w:bCs/>
          <w:i/>
          <w:iCs/>
          <w:w w:val="105"/>
          <w:sz w:val="24"/>
          <w:szCs w:val="24"/>
        </w:rPr>
        <w:t>Innovators</w:t>
      </w:r>
    </w:p>
    <w:p w14:paraId="3C16C4EF" w14:textId="77777777" w:rsidR="00511610" w:rsidRPr="003C7F6D" w:rsidRDefault="00511610" w:rsidP="00511610">
      <w:pPr>
        <w:pStyle w:val="BodyText"/>
        <w:rPr>
          <w:b/>
          <w:bCs/>
          <w:i/>
          <w:szCs w:val="24"/>
        </w:rPr>
      </w:pPr>
    </w:p>
    <w:p w14:paraId="508DD752" w14:textId="77777777" w:rsidR="00511610" w:rsidRPr="003C7F6D" w:rsidRDefault="00511610" w:rsidP="00511610">
      <w:pPr>
        <w:pStyle w:val="BodyText"/>
        <w:rPr>
          <w:b/>
          <w:bCs/>
          <w:i/>
          <w:szCs w:val="24"/>
        </w:rPr>
      </w:pPr>
    </w:p>
    <w:p w14:paraId="0E7D5912" w14:textId="77777777" w:rsidR="00511610" w:rsidRPr="003C7F6D" w:rsidRDefault="00511610" w:rsidP="00511610">
      <w:pPr>
        <w:rPr>
          <w:b/>
          <w:bCs/>
          <w:w w:val="105"/>
          <w:sz w:val="24"/>
          <w:szCs w:val="24"/>
          <w:u w:val="thick" w:color="151515"/>
        </w:rPr>
      </w:pPr>
    </w:p>
    <w:p w14:paraId="79CEB11F" w14:textId="77777777" w:rsidR="00511610" w:rsidRPr="003C7F6D" w:rsidRDefault="00511610" w:rsidP="00511610">
      <w:pPr>
        <w:rPr>
          <w:b/>
          <w:bCs/>
          <w:w w:val="105"/>
          <w:sz w:val="24"/>
          <w:szCs w:val="24"/>
          <w:u w:val="thick" w:color="151515"/>
        </w:rPr>
      </w:pPr>
    </w:p>
    <w:p w14:paraId="096DEB33" w14:textId="194D7AA9" w:rsidR="00511610" w:rsidRPr="003C7F6D" w:rsidRDefault="00511610" w:rsidP="00511610">
      <w:pPr>
        <w:spacing w:before="90"/>
        <w:ind w:left="3151"/>
        <w:jc w:val="both"/>
        <w:rPr>
          <w:b/>
          <w:bCs/>
          <w:sz w:val="24"/>
          <w:szCs w:val="24"/>
        </w:rPr>
      </w:pPr>
      <w:r w:rsidRPr="003C7F6D">
        <w:rPr>
          <w:b/>
          <w:bCs/>
          <w:w w:val="105"/>
          <w:sz w:val="24"/>
          <w:szCs w:val="24"/>
          <w:u w:val="thick" w:color="151515"/>
        </w:rPr>
        <w:t>CERTIFICATE</w:t>
      </w:r>
      <w:r w:rsidR="002514B0">
        <w:rPr>
          <w:b/>
          <w:bCs/>
          <w:w w:val="105"/>
          <w:sz w:val="24"/>
          <w:szCs w:val="24"/>
          <w:u w:val="thick" w:color="151515"/>
        </w:rPr>
        <w:t xml:space="preserve"> </w:t>
      </w:r>
      <w:r w:rsidRPr="003C7F6D">
        <w:rPr>
          <w:b/>
          <w:bCs/>
          <w:w w:val="105"/>
          <w:sz w:val="24"/>
          <w:szCs w:val="24"/>
          <w:u w:val="thick" w:color="151515"/>
        </w:rPr>
        <w:t>OF</w:t>
      </w:r>
      <w:r w:rsidR="002514B0">
        <w:rPr>
          <w:b/>
          <w:bCs/>
          <w:w w:val="105"/>
          <w:sz w:val="24"/>
          <w:szCs w:val="24"/>
          <w:u w:val="thick" w:color="151515"/>
        </w:rPr>
        <w:t xml:space="preserve"> </w:t>
      </w:r>
      <w:r w:rsidRPr="003C7F6D">
        <w:rPr>
          <w:b/>
          <w:bCs/>
          <w:w w:val="105"/>
          <w:sz w:val="24"/>
          <w:szCs w:val="24"/>
          <w:u w:val="thick" w:color="151515"/>
        </w:rPr>
        <w:t>SERVICE</w:t>
      </w:r>
    </w:p>
    <w:p w14:paraId="58E4BD98" w14:textId="77777777" w:rsidR="00511610" w:rsidRPr="003C7F6D" w:rsidRDefault="00511610" w:rsidP="00511610">
      <w:pPr>
        <w:pStyle w:val="BodyText"/>
        <w:spacing w:before="4"/>
        <w:rPr>
          <w:b/>
          <w:bCs/>
          <w:szCs w:val="24"/>
        </w:rPr>
      </w:pPr>
    </w:p>
    <w:p w14:paraId="5A4A67A7" w14:textId="5118E30C" w:rsidR="00511610" w:rsidRPr="003C7F6D" w:rsidRDefault="00511610" w:rsidP="00511610">
      <w:pPr>
        <w:pStyle w:val="BodyText"/>
        <w:spacing w:before="1" w:line="499" w:lineRule="auto"/>
        <w:ind w:left="190" w:right="150" w:firstLine="728"/>
        <w:rPr>
          <w:b/>
          <w:bCs/>
          <w:w w:val="105"/>
          <w:szCs w:val="24"/>
        </w:rPr>
      </w:pPr>
      <w:r w:rsidRPr="003C7F6D">
        <w:rPr>
          <w:b/>
          <w:bCs/>
          <w:noProof/>
          <w:szCs w:val="24"/>
        </w:rPr>
        <w:drawing>
          <wp:anchor distT="0" distB="0" distL="114300" distR="114300" simplePos="0" relativeHeight="251666944" behindDoc="1" locked="0" layoutInCell="1" allowOverlap="1" wp14:anchorId="5D80C515" wp14:editId="3015B077">
            <wp:simplePos x="0" y="0"/>
            <wp:positionH relativeFrom="column">
              <wp:posOffset>3660775</wp:posOffset>
            </wp:positionH>
            <wp:positionV relativeFrom="paragraph">
              <wp:posOffset>605020</wp:posOffset>
            </wp:positionV>
            <wp:extent cx="2298700" cy="501650"/>
            <wp:effectExtent l="0" t="0" r="6350" b="0"/>
            <wp:wrapNone/>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keTifft2ndSignature.JPG"/>
                    <pic:cNvPicPr/>
                  </pic:nvPicPr>
                  <pic:blipFill>
                    <a:blip r:embed="rId13">
                      <a:extLst>
                        <a:ext uri="{28A0092B-C50C-407E-A947-70E740481C1C}">
                          <a14:useLocalDpi xmlns:a14="http://schemas.microsoft.com/office/drawing/2010/main" val="0"/>
                        </a:ext>
                      </a:extLst>
                    </a:blip>
                    <a:stretch>
                      <a:fillRect/>
                    </a:stretch>
                  </pic:blipFill>
                  <pic:spPr>
                    <a:xfrm>
                      <a:off x="0" y="0"/>
                      <a:ext cx="2298700" cy="501650"/>
                    </a:xfrm>
                    <a:prstGeom prst="rect">
                      <a:avLst/>
                    </a:prstGeom>
                  </pic:spPr>
                </pic:pic>
              </a:graphicData>
            </a:graphic>
            <wp14:sizeRelH relativeFrom="page">
              <wp14:pctWidth>0</wp14:pctWidth>
            </wp14:sizeRelH>
            <wp14:sizeRelV relativeFrom="page">
              <wp14:pctHeight>0</wp14:pctHeight>
            </wp14:sizeRelV>
          </wp:anchor>
        </w:drawing>
      </w:r>
      <w:r w:rsidRPr="003C7F6D">
        <w:rPr>
          <w:b/>
          <w:bCs/>
          <w:w w:val="105"/>
          <w:szCs w:val="24"/>
        </w:rPr>
        <w:t>I</w:t>
      </w:r>
      <w:r w:rsidR="002514B0">
        <w:rPr>
          <w:b/>
          <w:bCs/>
          <w:w w:val="105"/>
          <w:szCs w:val="24"/>
        </w:rPr>
        <w:t xml:space="preserve"> </w:t>
      </w:r>
      <w:r w:rsidRPr="003C7F6D">
        <w:rPr>
          <w:b/>
          <w:bCs/>
          <w:w w:val="105"/>
          <w:szCs w:val="24"/>
        </w:rPr>
        <w:t>hereby</w:t>
      </w:r>
      <w:r w:rsidR="002514B0">
        <w:rPr>
          <w:b/>
          <w:bCs/>
          <w:w w:val="105"/>
          <w:szCs w:val="24"/>
        </w:rPr>
        <w:t xml:space="preserve"> </w:t>
      </w:r>
      <w:r w:rsidRPr="003C7F6D">
        <w:rPr>
          <w:b/>
          <w:bCs/>
          <w:w w:val="105"/>
          <w:szCs w:val="24"/>
        </w:rPr>
        <w:t>certify</w:t>
      </w:r>
      <w:r w:rsidR="002514B0">
        <w:rPr>
          <w:b/>
          <w:bCs/>
          <w:w w:val="105"/>
          <w:szCs w:val="24"/>
        </w:rPr>
        <w:t xml:space="preserve"> </w:t>
      </w:r>
      <w:r w:rsidRPr="003C7F6D">
        <w:rPr>
          <w:b/>
          <w:bCs/>
          <w:w w:val="105"/>
          <w:szCs w:val="24"/>
        </w:rPr>
        <w:t>that</w:t>
      </w:r>
      <w:r w:rsidR="002514B0">
        <w:rPr>
          <w:b/>
          <w:bCs/>
          <w:w w:val="105"/>
          <w:szCs w:val="24"/>
        </w:rPr>
        <w:t xml:space="preserve"> </w:t>
      </w:r>
      <w:r w:rsidRPr="003C7F6D">
        <w:rPr>
          <w:b/>
          <w:bCs/>
          <w:w w:val="105"/>
          <w:szCs w:val="24"/>
        </w:rPr>
        <w:t>a</w:t>
      </w:r>
      <w:r w:rsidR="002514B0">
        <w:rPr>
          <w:b/>
          <w:bCs/>
          <w:w w:val="105"/>
          <w:szCs w:val="24"/>
        </w:rPr>
        <w:t xml:space="preserve"> </w:t>
      </w:r>
      <w:r w:rsidRPr="003C7F6D">
        <w:rPr>
          <w:b/>
          <w:bCs/>
          <w:w w:val="105"/>
          <w:szCs w:val="24"/>
        </w:rPr>
        <w:t>copy</w:t>
      </w:r>
      <w:r w:rsidR="002514B0">
        <w:rPr>
          <w:b/>
          <w:bCs/>
          <w:w w:val="105"/>
          <w:szCs w:val="24"/>
        </w:rPr>
        <w:t xml:space="preserve"> </w:t>
      </w:r>
      <w:r w:rsidRPr="003C7F6D">
        <w:rPr>
          <w:b/>
          <w:bCs/>
          <w:w w:val="105"/>
          <w:szCs w:val="24"/>
        </w:rPr>
        <w:t>of</w:t>
      </w:r>
      <w:r w:rsidR="002514B0">
        <w:rPr>
          <w:b/>
          <w:bCs/>
          <w:w w:val="105"/>
          <w:szCs w:val="24"/>
        </w:rPr>
        <w:t xml:space="preserve"> </w:t>
      </w:r>
      <w:r w:rsidRPr="003C7F6D">
        <w:rPr>
          <w:b/>
          <w:bCs/>
          <w:w w:val="105"/>
          <w:szCs w:val="24"/>
        </w:rPr>
        <w:t>Building</w:t>
      </w:r>
      <w:r w:rsidR="002514B0">
        <w:rPr>
          <w:b/>
          <w:bCs/>
          <w:w w:val="105"/>
          <w:szCs w:val="24"/>
        </w:rPr>
        <w:t xml:space="preserve"> </w:t>
      </w:r>
      <w:r w:rsidRPr="003C7F6D">
        <w:rPr>
          <w:b/>
          <w:bCs/>
          <w:w w:val="105"/>
          <w:szCs w:val="24"/>
        </w:rPr>
        <w:t>Science</w:t>
      </w:r>
      <w:r w:rsidR="002514B0">
        <w:rPr>
          <w:b/>
          <w:bCs/>
          <w:w w:val="105"/>
          <w:szCs w:val="24"/>
        </w:rPr>
        <w:t xml:space="preserve"> </w:t>
      </w:r>
      <w:r w:rsidRPr="003C7F6D">
        <w:rPr>
          <w:b/>
          <w:bCs/>
          <w:w w:val="105"/>
          <w:szCs w:val="24"/>
        </w:rPr>
        <w:t>Innovators’</w:t>
      </w:r>
      <w:r w:rsidR="002514B0">
        <w:rPr>
          <w:b/>
          <w:bCs/>
          <w:w w:val="105"/>
          <w:szCs w:val="24"/>
        </w:rPr>
        <w:t xml:space="preserve"> </w:t>
      </w:r>
      <w:r w:rsidRPr="003C7F6D">
        <w:rPr>
          <w:b/>
          <w:bCs/>
          <w:w w:val="105"/>
          <w:szCs w:val="24"/>
        </w:rPr>
        <w:t>Reply</w:t>
      </w:r>
      <w:r w:rsidR="002514B0">
        <w:rPr>
          <w:b/>
          <w:bCs/>
          <w:w w:val="105"/>
          <w:szCs w:val="24"/>
        </w:rPr>
        <w:t xml:space="preserve"> </w:t>
      </w:r>
      <w:r w:rsidRPr="003C7F6D">
        <w:rPr>
          <w:b/>
          <w:bCs/>
          <w:w w:val="105"/>
          <w:szCs w:val="24"/>
        </w:rPr>
        <w:t>Post</w:t>
      </w:r>
      <w:r w:rsidR="002514B0">
        <w:rPr>
          <w:b/>
          <w:bCs/>
          <w:w w:val="105"/>
          <w:szCs w:val="24"/>
        </w:rPr>
        <w:t xml:space="preserve"> </w:t>
      </w:r>
      <w:r w:rsidRPr="003C7F6D">
        <w:rPr>
          <w:b/>
          <w:bCs/>
          <w:w w:val="105"/>
          <w:szCs w:val="24"/>
        </w:rPr>
        <w:t>Hearing</w:t>
      </w:r>
      <w:r w:rsidR="002514B0">
        <w:rPr>
          <w:b/>
          <w:bCs/>
          <w:w w:val="105"/>
          <w:szCs w:val="24"/>
        </w:rPr>
        <w:t xml:space="preserve"> </w:t>
      </w:r>
      <w:r w:rsidRPr="003C7F6D">
        <w:rPr>
          <w:b/>
          <w:bCs/>
          <w:w w:val="105"/>
          <w:szCs w:val="24"/>
        </w:rPr>
        <w:t>Brief</w:t>
      </w:r>
      <w:r w:rsidR="002514B0">
        <w:rPr>
          <w:b/>
          <w:bCs/>
          <w:w w:val="105"/>
          <w:szCs w:val="24"/>
        </w:rPr>
        <w:t xml:space="preserve"> </w:t>
      </w:r>
      <w:r w:rsidRPr="003C7F6D">
        <w:rPr>
          <w:b/>
          <w:bCs/>
          <w:w w:val="105"/>
          <w:szCs w:val="24"/>
        </w:rPr>
        <w:t>has</w:t>
      </w:r>
      <w:r w:rsidR="002514B0">
        <w:rPr>
          <w:b/>
          <w:bCs/>
          <w:w w:val="105"/>
          <w:szCs w:val="24"/>
        </w:rPr>
        <w:t xml:space="preserve"> </w:t>
      </w:r>
      <w:r w:rsidRPr="003C7F6D">
        <w:rPr>
          <w:b/>
          <w:bCs/>
          <w:w w:val="105"/>
          <w:szCs w:val="24"/>
        </w:rPr>
        <w:t>been</w:t>
      </w:r>
      <w:r w:rsidR="002514B0">
        <w:rPr>
          <w:b/>
          <w:bCs/>
          <w:w w:val="105"/>
          <w:szCs w:val="24"/>
        </w:rPr>
        <w:t xml:space="preserve"> </w:t>
      </w:r>
      <w:r w:rsidRPr="003C7F6D">
        <w:rPr>
          <w:b/>
          <w:bCs/>
          <w:w w:val="105"/>
          <w:szCs w:val="24"/>
        </w:rPr>
        <w:t>served</w:t>
      </w:r>
      <w:r w:rsidR="002514B0">
        <w:rPr>
          <w:b/>
          <w:bCs/>
          <w:w w:val="105"/>
          <w:szCs w:val="24"/>
        </w:rPr>
        <w:t xml:space="preserve"> </w:t>
      </w:r>
      <w:r w:rsidRPr="003C7F6D">
        <w:rPr>
          <w:b/>
          <w:bCs/>
          <w:w w:val="105"/>
          <w:szCs w:val="24"/>
        </w:rPr>
        <w:t>by</w:t>
      </w:r>
      <w:r w:rsidR="002514B0">
        <w:rPr>
          <w:b/>
          <w:bCs/>
          <w:w w:val="105"/>
          <w:szCs w:val="24"/>
        </w:rPr>
        <w:t xml:space="preserve"> </w:t>
      </w:r>
      <w:r w:rsidRPr="003C7F6D">
        <w:rPr>
          <w:b/>
          <w:bCs/>
          <w:w w:val="105"/>
          <w:szCs w:val="24"/>
        </w:rPr>
        <w:t>electronic</w:t>
      </w:r>
      <w:r w:rsidR="002514B0">
        <w:rPr>
          <w:b/>
          <w:bCs/>
          <w:w w:val="105"/>
          <w:szCs w:val="24"/>
        </w:rPr>
        <w:t xml:space="preserve"> </w:t>
      </w:r>
      <w:r w:rsidRPr="003C7F6D">
        <w:rPr>
          <w:b/>
          <w:bCs/>
          <w:w w:val="105"/>
          <w:szCs w:val="24"/>
        </w:rPr>
        <w:t>mail</w:t>
      </w:r>
      <w:r w:rsidR="002514B0">
        <w:rPr>
          <w:b/>
          <w:bCs/>
          <w:w w:val="105"/>
          <w:szCs w:val="24"/>
        </w:rPr>
        <w:t xml:space="preserve"> </w:t>
      </w:r>
      <w:r w:rsidRPr="003C7F6D">
        <w:rPr>
          <w:b/>
          <w:bCs/>
          <w:w w:val="105"/>
          <w:szCs w:val="24"/>
        </w:rPr>
        <w:t>and/or</w:t>
      </w:r>
      <w:r w:rsidR="002514B0">
        <w:rPr>
          <w:b/>
          <w:bCs/>
          <w:w w:val="105"/>
          <w:szCs w:val="24"/>
        </w:rPr>
        <w:t xml:space="preserve"> </w:t>
      </w:r>
      <w:r w:rsidRPr="003C7F6D">
        <w:rPr>
          <w:b/>
          <w:bCs/>
          <w:w w:val="105"/>
          <w:szCs w:val="24"/>
        </w:rPr>
        <w:t>by</w:t>
      </w:r>
      <w:r w:rsidR="002514B0">
        <w:rPr>
          <w:b/>
          <w:bCs/>
          <w:w w:val="105"/>
          <w:szCs w:val="24"/>
        </w:rPr>
        <w:t xml:space="preserve"> </w:t>
      </w:r>
      <w:r w:rsidRPr="003C7F6D">
        <w:rPr>
          <w:b/>
          <w:bCs/>
          <w:w w:val="105"/>
          <w:szCs w:val="24"/>
        </w:rPr>
        <w:t>U.S.</w:t>
      </w:r>
      <w:r w:rsidR="002514B0">
        <w:rPr>
          <w:b/>
          <w:bCs/>
          <w:w w:val="105"/>
          <w:szCs w:val="24"/>
        </w:rPr>
        <w:t xml:space="preserve"> </w:t>
      </w:r>
      <w:r w:rsidRPr="003C7F6D">
        <w:rPr>
          <w:b/>
          <w:bCs/>
          <w:w w:val="105"/>
          <w:szCs w:val="24"/>
        </w:rPr>
        <w:t>mail,</w:t>
      </w:r>
      <w:r w:rsidR="002514B0">
        <w:rPr>
          <w:b/>
          <w:bCs/>
          <w:w w:val="105"/>
          <w:szCs w:val="24"/>
        </w:rPr>
        <w:t xml:space="preserve"> </w:t>
      </w:r>
      <w:r w:rsidRPr="003C7F6D">
        <w:rPr>
          <w:b/>
          <w:bCs/>
          <w:w w:val="105"/>
          <w:szCs w:val="24"/>
        </w:rPr>
        <w:t>postage</w:t>
      </w:r>
      <w:r w:rsidR="002514B0">
        <w:rPr>
          <w:b/>
          <w:bCs/>
          <w:w w:val="105"/>
          <w:szCs w:val="24"/>
        </w:rPr>
        <w:t xml:space="preserve"> </w:t>
      </w:r>
      <w:r w:rsidRPr="003C7F6D">
        <w:rPr>
          <w:b/>
          <w:bCs/>
          <w:spacing w:val="2"/>
          <w:w w:val="105"/>
          <w:szCs w:val="24"/>
        </w:rPr>
        <w:t>prepaid,</w:t>
      </w:r>
      <w:r w:rsidR="002514B0">
        <w:rPr>
          <w:b/>
          <w:bCs/>
          <w:spacing w:val="2"/>
          <w:w w:val="105"/>
          <w:szCs w:val="24"/>
        </w:rPr>
        <w:t xml:space="preserve"> </w:t>
      </w:r>
      <w:r w:rsidRPr="003C7F6D">
        <w:rPr>
          <w:b/>
          <w:bCs/>
          <w:w w:val="105"/>
          <w:szCs w:val="24"/>
        </w:rPr>
        <w:t>on</w:t>
      </w:r>
      <w:r w:rsidR="002514B0">
        <w:rPr>
          <w:b/>
          <w:bCs/>
          <w:w w:val="105"/>
          <w:szCs w:val="24"/>
        </w:rPr>
        <w:t xml:space="preserve"> </w:t>
      </w:r>
      <w:r w:rsidRPr="003C7F6D">
        <w:rPr>
          <w:b/>
          <w:bCs/>
          <w:w w:val="105"/>
          <w:szCs w:val="24"/>
        </w:rPr>
        <w:t>all</w:t>
      </w:r>
      <w:r w:rsidR="002514B0">
        <w:rPr>
          <w:b/>
          <w:bCs/>
          <w:w w:val="105"/>
          <w:szCs w:val="24"/>
        </w:rPr>
        <w:t xml:space="preserve"> </w:t>
      </w:r>
      <w:r w:rsidRPr="003C7F6D">
        <w:rPr>
          <w:b/>
          <w:bCs/>
          <w:w w:val="105"/>
          <w:szCs w:val="24"/>
        </w:rPr>
        <w:t>parties</w:t>
      </w:r>
      <w:r w:rsidR="002514B0">
        <w:rPr>
          <w:b/>
          <w:bCs/>
          <w:w w:val="105"/>
          <w:szCs w:val="24"/>
        </w:rPr>
        <w:t xml:space="preserve"> </w:t>
      </w:r>
      <w:r w:rsidRPr="003C7F6D">
        <w:rPr>
          <w:b/>
          <w:bCs/>
          <w:w w:val="105"/>
          <w:szCs w:val="24"/>
        </w:rPr>
        <w:t>on</w:t>
      </w:r>
      <w:r w:rsidR="002514B0">
        <w:rPr>
          <w:b/>
          <w:bCs/>
          <w:w w:val="105"/>
          <w:szCs w:val="24"/>
        </w:rPr>
        <w:t xml:space="preserve"> </w:t>
      </w:r>
      <w:r w:rsidRPr="003C7F6D">
        <w:rPr>
          <w:b/>
          <w:bCs/>
          <w:w w:val="105"/>
          <w:szCs w:val="24"/>
        </w:rPr>
        <w:t>the</w:t>
      </w:r>
      <w:r w:rsidR="002514B0">
        <w:rPr>
          <w:b/>
          <w:bCs/>
          <w:w w:val="105"/>
          <w:szCs w:val="24"/>
        </w:rPr>
        <w:t xml:space="preserve"> </w:t>
      </w:r>
      <w:r w:rsidRPr="003C7F6D">
        <w:rPr>
          <w:b/>
          <w:bCs/>
          <w:w w:val="105"/>
          <w:szCs w:val="24"/>
        </w:rPr>
        <w:t>Official</w:t>
      </w:r>
      <w:r w:rsidR="002514B0">
        <w:rPr>
          <w:b/>
          <w:bCs/>
          <w:w w:val="105"/>
          <w:szCs w:val="24"/>
        </w:rPr>
        <w:t xml:space="preserve"> </w:t>
      </w:r>
      <w:r w:rsidRPr="003C7F6D">
        <w:rPr>
          <w:b/>
          <w:bCs/>
          <w:w w:val="105"/>
          <w:szCs w:val="24"/>
        </w:rPr>
        <w:t>Service</w:t>
      </w:r>
      <w:r w:rsidR="002514B0">
        <w:rPr>
          <w:b/>
          <w:bCs/>
          <w:spacing w:val="62"/>
          <w:w w:val="105"/>
          <w:szCs w:val="24"/>
        </w:rPr>
        <w:t xml:space="preserve"> </w:t>
      </w:r>
      <w:r w:rsidRPr="003C7F6D">
        <w:rPr>
          <w:b/>
          <w:bCs/>
          <w:w w:val="105"/>
          <w:szCs w:val="24"/>
        </w:rPr>
        <w:t>List.</w:t>
      </w:r>
    </w:p>
    <w:p w14:paraId="73776009" w14:textId="247B5EDB" w:rsidR="00511610" w:rsidRPr="003C7F6D" w:rsidRDefault="00511610" w:rsidP="00511610">
      <w:pPr>
        <w:pStyle w:val="BodyText"/>
        <w:spacing w:before="3"/>
        <w:ind w:left="902"/>
        <w:rPr>
          <w:b/>
          <w:bCs/>
          <w:szCs w:val="24"/>
        </w:rPr>
      </w:pPr>
      <w:r w:rsidRPr="003C7F6D">
        <w:rPr>
          <w:b/>
          <w:bCs/>
          <w:szCs w:val="24"/>
        </w:rPr>
        <w:t>New</w:t>
      </w:r>
      <w:r w:rsidR="002514B0">
        <w:rPr>
          <w:b/>
          <w:bCs/>
          <w:szCs w:val="24"/>
        </w:rPr>
        <w:t xml:space="preserve"> </w:t>
      </w:r>
      <w:r w:rsidRPr="003C7F6D">
        <w:rPr>
          <w:b/>
          <w:bCs/>
          <w:szCs w:val="24"/>
        </w:rPr>
        <w:t>Orleans,</w:t>
      </w:r>
      <w:r w:rsidR="002514B0">
        <w:rPr>
          <w:b/>
          <w:bCs/>
          <w:szCs w:val="24"/>
        </w:rPr>
        <w:t xml:space="preserve"> </w:t>
      </w:r>
      <w:r w:rsidRPr="003C7F6D">
        <w:rPr>
          <w:b/>
          <w:bCs/>
          <w:szCs w:val="24"/>
        </w:rPr>
        <w:t>Louisiana</w:t>
      </w:r>
      <w:r w:rsidR="002514B0">
        <w:rPr>
          <w:b/>
          <w:bCs/>
          <w:szCs w:val="24"/>
        </w:rPr>
        <w:t xml:space="preserve"> </w:t>
      </w:r>
      <w:r w:rsidRPr="003C7F6D">
        <w:rPr>
          <w:b/>
          <w:bCs/>
          <w:szCs w:val="24"/>
        </w:rPr>
        <w:t>this</w:t>
      </w:r>
      <w:r w:rsidR="002514B0">
        <w:rPr>
          <w:b/>
          <w:bCs/>
          <w:szCs w:val="24"/>
        </w:rPr>
        <w:t xml:space="preserve"> </w:t>
      </w:r>
      <w:r w:rsidRPr="003C7F6D">
        <w:rPr>
          <w:b/>
          <w:bCs/>
          <w:szCs w:val="24"/>
        </w:rPr>
        <w:t>9</w:t>
      </w:r>
      <w:r w:rsidRPr="003C7F6D">
        <w:rPr>
          <w:b/>
          <w:bCs/>
          <w:szCs w:val="24"/>
          <w:vertAlign w:val="superscript"/>
        </w:rPr>
        <w:t>th</w:t>
      </w:r>
      <w:r w:rsidR="002514B0">
        <w:rPr>
          <w:b/>
          <w:bCs/>
          <w:szCs w:val="24"/>
        </w:rPr>
        <w:t xml:space="preserve"> </w:t>
      </w:r>
      <w:r w:rsidRPr="003C7F6D">
        <w:rPr>
          <w:b/>
          <w:bCs/>
          <w:szCs w:val="24"/>
        </w:rPr>
        <w:t>day</w:t>
      </w:r>
      <w:r w:rsidR="002514B0">
        <w:rPr>
          <w:b/>
          <w:bCs/>
          <w:szCs w:val="24"/>
        </w:rPr>
        <w:t xml:space="preserve"> </w:t>
      </w:r>
      <w:r w:rsidRPr="003C7F6D">
        <w:rPr>
          <w:b/>
          <w:bCs/>
          <w:szCs w:val="24"/>
        </w:rPr>
        <w:t>of</w:t>
      </w:r>
      <w:r w:rsidR="002514B0">
        <w:rPr>
          <w:b/>
          <w:bCs/>
          <w:szCs w:val="24"/>
        </w:rPr>
        <w:t xml:space="preserve"> </w:t>
      </w:r>
      <w:r w:rsidRPr="003C7F6D">
        <w:rPr>
          <w:b/>
          <w:bCs/>
          <w:szCs w:val="24"/>
        </w:rPr>
        <w:t>August</w:t>
      </w:r>
      <w:r w:rsidR="002514B0">
        <w:rPr>
          <w:b/>
          <w:bCs/>
          <w:szCs w:val="24"/>
        </w:rPr>
        <w:t xml:space="preserve"> </w:t>
      </w:r>
      <w:r w:rsidRPr="003C7F6D">
        <w:rPr>
          <w:b/>
          <w:bCs/>
          <w:szCs w:val="24"/>
        </w:rPr>
        <w:t>2019</w:t>
      </w:r>
    </w:p>
    <w:p w14:paraId="3B07D696" w14:textId="45AC2877" w:rsidR="00511610" w:rsidRPr="003C7F6D" w:rsidRDefault="00511610" w:rsidP="00511610">
      <w:pPr>
        <w:pStyle w:val="Heading2"/>
        <w:rPr>
          <w:color w:val="auto"/>
        </w:rPr>
      </w:pPr>
      <w:r w:rsidRPr="003C7F6D">
        <w:rPr>
          <w:b/>
          <w:bCs/>
          <w:color w:val="auto"/>
          <w:sz w:val="24"/>
          <w:szCs w:val="24"/>
        </w:rPr>
        <w:br w:type="page"/>
      </w:r>
    </w:p>
    <w:p w14:paraId="1B6EB48B" w14:textId="6A288340" w:rsidR="00D05E5F" w:rsidRPr="003C7F6D" w:rsidRDefault="00D05E5F" w:rsidP="00D05E5F">
      <w:pPr>
        <w:pStyle w:val="Heading1"/>
        <w:rPr>
          <w:b w:val="0"/>
          <w:sz w:val="24"/>
          <w:szCs w:val="24"/>
        </w:rPr>
      </w:pPr>
      <w:bookmarkStart w:id="107" w:name="_Appendix_1._Table"/>
      <w:bookmarkStart w:id="108" w:name="_Toc16165427"/>
      <w:bookmarkStart w:id="109" w:name="_Toc16317746"/>
      <w:bookmarkStart w:id="110" w:name="_Toc16254910"/>
      <w:bookmarkStart w:id="111" w:name="_Hlk16105706"/>
      <w:bookmarkEnd w:id="107"/>
      <w:r w:rsidRPr="003C7F6D">
        <w:lastRenderedPageBreak/>
        <w:t>Appendix</w:t>
      </w:r>
      <w:r w:rsidR="002514B0">
        <w:t xml:space="preserve"> </w:t>
      </w:r>
      <w:r w:rsidRPr="003C7F6D">
        <w:t>1.</w:t>
      </w:r>
      <w:r w:rsidR="002514B0">
        <w:t xml:space="preserve"> </w:t>
      </w:r>
      <w:r w:rsidRPr="003C7F6D">
        <w:rPr>
          <w:b w:val="0"/>
          <w:sz w:val="24"/>
          <w:szCs w:val="24"/>
        </w:rPr>
        <w:t>Table</w:t>
      </w:r>
      <w:r w:rsidR="002514B0">
        <w:rPr>
          <w:b w:val="0"/>
          <w:sz w:val="24"/>
          <w:szCs w:val="24"/>
        </w:rPr>
        <w:t xml:space="preserve"> </w:t>
      </w:r>
      <w:r w:rsidRPr="003C7F6D">
        <w:rPr>
          <w:b w:val="0"/>
          <w:sz w:val="24"/>
          <w:szCs w:val="24"/>
        </w:rPr>
        <w:t>1</w:t>
      </w:r>
      <w:r w:rsidR="002514B0">
        <w:rPr>
          <w:b w:val="0"/>
          <w:sz w:val="24"/>
          <w:szCs w:val="24"/>
        </w:rPr>
        <w:t xml:space="preserve"> </w:t>
      </w:r>
      <w:r w:rsidRPr="003C7F6D">
        <w:rPr>
          <w:b w:val="0"/>
          <w:sz w:val="24"/>
          <w:szCs w:val="24"/>
        </w:rPr>
        <w:t>and</w:t>
      </w:r>
      <w:r w:rsidR="002514B0">
        <w:rPr>
          <w:b w:val="0"/>
          <w:sz w:val="24"/>
          <w:szCs w:val="24"/>
        </w:rPr>
        <w:t xml:space="preserve"> </w:t>
      </w:r>
      <w:r w:rsidRPr="003C7F6D">
        <w:rPr>
          <w:b w:val="0"/>
          <w:sz w:val="24"/>
          <w:szCs w:val="24"/>
        </w:rPr>
        <w:t>its</w:t>
      </w:r>
      <w:r w:rsidR="002514B0">
        <w:rPr>
          <w:b w:val="0"/>
          <w:sz w:val="24"/>
          <w:szCs w:val="24"/>
        </w:rPr>
        <w:t xml:space="preserve"> </w:t>
      </w:r>
      <w:r w:rsidRPr="003C7F6D">
        <w:rPr>
          <w:b w:val="0"/>
          <w:sz w:val="24"/>
          <w:szCs w:val="24"/>
        </w:rPr>
        <w:t>full</w:t>
      </w:r>
      <w:r w:rsidR="002514B0">
        <w:rPr>
          <w:b w:val="0"/>
          <w:sz w:val="24"/>
          <w:szCs w:val="24"/>
        </w:rPr>
        <w:t xml:space="preserve"> </w:t>
      </w:r>
      <w:r w:rsidRPr="003C7F6D">
        <w:rPr>
          <w:b w:val="0"/>
          <w:sz w:val="24"/>
          <w:szCs w:val="24"/>
        </w:rPr>
        <w:t>justification</w:t>
      </w:r>
      <w:r w:rsidR="002514B0">
        <w:rPr>
          <w:b w:val="0"/>
          <w:sz w:val="24"/>
          <w:szCs w:val="24"/>
        </w:rPr>
        <w:t xml:space="preserve"> </w:t>
      </w:r>
      <w:r w:rsidRPr="003C7F6D">
        <w:rPr>
          <w:b w:val="0"/>
          <w:sz w:val="24"/>
          <w:szCs w:val="24"/>
        </w:rPr>
        <w:t>from</w:t>
      </w:r>
      <w:r w:rsidR="002514B0">
        <w:rPr>
          <w:b w:val="0"/>
          <w:sz w:val="24"/>
          <w:szCs w:val="24"/>
        </w:rPr>
        <w:t xml:space="preserve"> </w:t>
      </w:r>
      <w:r w:rsidRPr="003C7F6D">
        <w:rPr>
          <w:b w:val="0"/>
          <w:sz w:val="24"/>
          <w:szCs w:val="24"/>
        </w:rPr>
        <w:t>the</w:t>
      </w:r>
      <w:r w:rsidR="002514B0">
        <w:rPr>
          <w:b w:val="0"/>
          <w:sz w:val="24"/>
          <w:szCs w:val="24"/>
        </w:rPr>
        <w:t xml:space="preserve"> </w:t>
      </w:r>
      <w:r w:rsidRPr="003C7F6D">
        <w:rPr>
          <w:b w:val="0"/>
          <w:sz w:val="24"/>
          <w:szCs w:val="24"/>
        </w:rPr>
        <w:t>Direct</w:t>
      </w:r>
      <w:r w:rsidR="002514B0">
        <w:rPr>
          <w:b w:val="0"/>
          <w:sz w:val="24"/>
          <w:szCs w:val="24"/>
        </w:rPr>
        <w:t xml:space="preserve"> </w:t>
      </w:r>
      <w:r w:rsidRPr="003C7F6D">
        <w:rPr>
          <w:b w:val="0"/>
          <w:sz w:val="24"/>
          <w:szCs w:val="24"/>
        </w:rPr>
        <w:t>Testimony</w:t>
      </w:r>
      <w:bookmarkEnd w:id="108"/>
      <w:bookmarkEnd w:id="109"/>
      <w:bookmarkEnd w:id="110"/>
      <w:r w:rsidR="002514B0">
        <w:rPr>
          <w:b w:val="0"/>
          <w:sz w:val="24"/>
          <w:szCs w:val="24"/>
        </w:rPr>
        <w:t xml:space="preserve"> </w:t>
      </w:r>
    </w:p>
    <w:bookmarkEnd w:id="111"/>
    <w:p w14:paraId="57BB6806" w14:textId="77777777" w:rsidR="00D05E5F" w:rsidRPr="003C7F6D" w:rsidRDefault="00D05E5F" w:rsidP="00D05E5F">
      <w:pPr>
        <w:ind w:firstLine="720"/>
        <w:jc w:val="both"/>
        <w:rPr>
          <w:sz w:val="24"/>
          <w:szCs w:val="24"/>
        </w:rPr>
      </w:pPr>
    </w:p>
    <w:p w14:paraId="4B92A0AB" w14:textId="62FD9FA6" w:rsidR="00D05E5F" w:rsidRPr="003C7F6D" w:rsidRDefault="00D05E5F" w:rsidP="00D05E5F">
      <w:pPr>
        <w:pStyle w:val="ListParagraph"/>
        <w:spacing w:line="240" w:lineRule="auto"/>
        <w:ind w:left="0" w:right="130" w:firstLine="0"/>
        <w:jc w:val="center"/>
        <w:rPr>
          <w:sz w:val="24"/>
          <w:szCs w:val="24"/>
        </w:rPr>
      </w:pPr>
      <w:r w:rsidRPr="003C7F6D">
        <w:rPr>
          <w:noProof/>
        </w:rPr>
        <w:drawing>
          <wp:anchor distT="0" distB="0" distL="114300" distR="114300" simplePos="0" relativeHeight="251672064" behindDoc="1" locked="0" layoutInCell="1" allowOverlap="1" wp14:anchorId="4C16DB21" wp14:editId="23E15F66">
            <wp:simplePos x="0" y="0"/>
            <wp:positionH relativeFrom="margin">
              <wp:align>center</wp:align>
            </wp:positionH>
            <wp:positionV relativeFrom="paragraph">
              <wp:posOffset>266075</wp:posOffset>
            </wp:positionV>
            <wp:extent cx="5920105" cy="2606040"/>
            <wp:effectExtent l="0" t="0" r="4445" b="3810"/>
            <wp:wrapTight wrapText="bothSides">
              <wp:wrapPolygon edited="0">
                <wp:start x="0" y="0"/>
                <wp:lineTo x="0" y="21474"/>
                <wp:lineTo x="21547" y="21474"/>
                <wp:lineTo x="21547" y="0"/>
                <wp:lineTo x="0" y="0"/>
              </wp:wrapPolygon>
            </wp:wrapTight>
            <wp:docPr id="4" name="Picture 2" descr="A screenshot of text&#10;&#10;Description automatically generated">
              <a:extLst xmlns:a="http://schemas.openxmlformats.org/drawingml/2006/main">
                <a:ext uri="{FF2B5EF4-FFF2-40B4-BE49-F238E27FC236}">
                  <a16:creationId xmlns:a16="http://schemas.microsoft.com/office/drawing/2014/main" id="{33F83A67-E863-467B-A48B-FE353F7C7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text&#10;&#10;Description automatically generated">
                      <a:extLst>
                        <a:ext uri="{FF2B5EF4-FFF2-40B4-BE49-F238E27FC236}">
                          <a16:creationId xmlns:a16="http://schemas.microsoft.com/office/drawing/2014/main" id="{33F83A67-E863-467B-A48B-FE353F7C790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0105" cy="2606040"/>
                    </a:xfrm>
                    <a:prstGeom prst="rect">
                      <a:avLst/>
                    </a:prstGeom>
                  </pic:spPr>
                </pic:pic>
              </a:graphicData>
            </a:graphic>
            <wp14:sizeRelH relativeFrom="margin">
              <wp14:pctWidth>0</wp14:pctWidth>
            </wp14:sizeRelH>
            <wp14:sizeRelV relativeFrom="margin">
              <wp14:pctHeight>0</wp14:pctHeight>
            </wp14:sizeRelV>
          </wp:anchor>
        </w:drawing>
      </w:r>
      <w:r w:rsidR="002514B0">
        <w:rPr>
          <w:b/>
          <w:bCs/>
        </w:rPr>
        <w:t xml:space="preserve"> </w:t>
      </w:r>
      <w:r w:rsidRPr="003C7F6D">
        <w:rPr>
          <w:b/>
          <w:bCs/>
          <w:sz w:val="24"/>
          <w:szCs w:val="24"/>
        </w:rPr>
        <w:t>TABLE</w:t>
      </w:r>
      <w:r w:rsidR="002514B0">
        <w:rPr>
          <w:b/>
          <w:bCs/>
          <w:sz w:val="24"/>
          <w:szCs w:val="24"/>
        </w:rPr>
        <w:t xml:space="preserve"> </w:t>
      </w:r>
      <w:r w:rsidRPr="003C7F6D">
        <w:rPr>
          <w:b/>
          <w:bCs/>
          <w:sz w:val="24"/>
          <w:szCs w:val="24"/>
        </w:rPr>
        <w:t>1:</w:t>
      </w:r>
      <w:r w:rsidR="002514B0">
        <w:rPr>
          <w:b/>
          <w:bCs/>
          <w:sz w:val="24"/>
          <w:szCs w:val="24"/>
        </w:rPr>
        <w:t xml:space="preserve"> </w:t>
      </w:r>
      <w:r w:rsidRPr="003C7F6D">
        <w:rPr>
          <w:b/>
          <w:bCs/>
          <w:sz w:val="24"/>
          <w:szCs w:val="24"/>
        </w:rPr>
        <w:t>Cashflows</w:t>
      </w:r>
      <w:r w:rsidR="002514B0">
        <w:rPr>
          <w:b/>
          <w:bCs/>
          <w:sz w:val="24"/>
          <w:szCs w:val="24"/>
        </w:rPr>
        <w:t xml:space="preserve"> </w:t>
      </w:r>
      <w:r w:rsidRPr="003C7F6D">
        <w:rPr>
          <w:b/>
          <w:bCs/>
          <w:sz w:val="24"/>
          <w:szCs w:val="24"/>
        </w:rPr>
        <w:t>Estimates</w:t>
      </w:r>
      <w:r w:rsidR="002514B0">
        <w:rPr>
          <w:b/>
          <w:bCs/>
          <w:sz w:val="24"/>
          <w:szCs w:val="24"/>
        </w:rPr>
        <w:t xml:space="preserve"> </w:t>
      </w:r>
      <w:r w:rsidRPr="003C7F6D">
        <w:rPr>
          <w:b/>
          <w:bCs/>
          <w:sz w:val="24"/>
          <w:szCs w:val="24"/>
        </w:rPr>
        <w:t>of</w:t>
      </w:r>
      <w:r w:rsidR="002514B0">
        <w:rPr>
          <w:b/>
          <w:bCs/>
          <w:sz w:val="24"/>
          <w:szCs w:val="24"/>
        </w:rPr>
        <w:t xml:space="preserve"> </w:t>
      </w:r>
      <w:r w:rsidRPr="003C7F6D">
        <w:rPr>
          <w:b/>
          <w:bCs/>
          <w:sz w:val="24"/>
          <w:szCs w:val="24"/>
        </w:rPr>
        <w:t>Key</w:t>
      </w:r>
      <w:r w:rsidR="002514B0">
        <w:rPr>
          <w:b/>
          <w:bCs/>
          <w:sz w:val="24"/>
          <w:szCs w:val="24"/>
        </w:rPr>
        <w:t xml:space="preserve"> </w:t>
      </w:r>
      <w:r w:rsidRPr="003C7F6D">
        <w:rPr>
          <w:b/>
          <w:bCs/>
          <w:sz w:val="24"/>
          <w:szCs w:val="24"/>
        </w:rPr>
        <w:t>Retrofits</w:t>
      </w:r>
      <w:r w:rsidR="002514B0">
        <w:rPr>
          <w:b/>
          <w:bCs/>
          <w:sz w:val="24"/>
          <w:szCs w:val="24"/>
        </w:rPr>
        <w:t xml:space="preserve"> </w:t>
      </w:r>
      <w:r w:rsidRPr="003C7F6D">
        <w:rPr>
          <w:b/>
          <w:bCs/>
          <w:sz w:val="24"/>
          <w:szCs w:val="24"/>
        </w:rPr>
        <w:t>–</w:t>
      </w:r>
      <w:r w:rsidR="002514B0">
        <w:rPr>
          <w:b/>
          <w:bCs/>
          <w:sz w:val="24"/>
          <w:szCs w:val="24"/>
        </w:rPr>
        <w:t xml:space="preserve"> </w:t>
      </w:r>
      <w:r w:rsidRPr="003C7F6D">
        <w:rPr>
          <w:b/>
          <w:bCs/>
          <w:sz w:val="24"/>
          <w:szCs w:val="24"/>
        </w:rPr>
        <w:t>from</w:t>
      </w:r>
      <w:r w:rsidR="002514B0">
        <w:rPr>
          <w:b/>
          <w:bCs/>
          <w:sz w:val="24"/>
          <w:szCs w:val="24"/>
        </w:rPr>
        <w:t xml:space="preserve"> </w:t>
      </w:r>
      <w:r w:rsidRPr="003C7F6D">
        <w:rPr>
          <w:b/>
          <w:bCs/>
          <w:sz w:val="24"/>
          <w:szCs w:val="24"/>
        </w:rPr>
        <w:t>Direct</w:t>
      </w:r>
      <w:r w:rsidR="002514B0">
        <w:rPr>
          <w:b/>
          <w:bCs/>
          <w:sz w:val="24"/>
          <w:szCs w:val="24"/>
        </w:rPr>
        <w:t xml:space="preserve"> </w:t>
      </w:r>
      <w:r w:rsidRPr="003C7F6D">
        <w:rPr>
          <w:b/>
          <w:bCs/>
          <w:sz w:val="24"/>
          <w:szCs w:val="24"/>
        </w:rPr>
        <w:t>Testimony</w:t>
      </w:r>
    </w:p>
    <w:p w14:paraId="3EA37DE7" w14:textId="77777777" w:rsidR="00A219CB" w:rsidRDefault="00D05E5F" w:rsidP="00A219CB">
      <w:pPr>
        <w:pStyle w:val="Quote"/>
        <w:numPr>
          <w:ilvl w:val="0"/>
          <w:numId w:val="35"/>
        </w:numPr>
      </w:pPr>
      <w:r w:rsidRPr="003C7F6D">
        <w:t>5</w:t>
      </w:r>
      <w:r w:rsidR="002514B0">
        <w:t xml:space="preserve"> </w:t>
      </w:r>
      <w:r w:rsidRPr="003C7F6D">
        <w:t>kW</w:t>
      </w:r>
      <w:r w:rsidR="002514B0">
        <w:t xml:space="preserve"> </w:t>
      </w:r>
      <w:r w:rsidRPr="003C7F6D">
        <w:t>of</w:t>
      </w:r>
      <w:r w:rsidR="002514B0">
        <w:t xml:space="preserve"> </w:t>
      </w:r>
      <w:r w:rsidRPr="003C7F6D">
        <w:t>Community</w:t>
      </w:r>
      <w:r w:rsidR="002514B0">
        <w:t xml:space="preserve"> </w:t>
      </w:r>
      <w:r w:rsidRPr="003C7F6D">
        <w:t>Solar</w:t>
      </w:r>
      <w:r w:rsidR="002514B0">
        <w:t xml:space="preserve"> </w:t>
      </w:r>
      <w:r w:rsidRPr="003C7F6D">
        <w:t>in</w:t>
      </w:r>
      <w:r w:rsidR="002514B0">
        <w:t xml:space="preserve"> </w:t>
      </w:r>
      <w:r w:rsidRPr="003C7F6D">
        <w:t>NOLA</w:t>
      </w:r>
      <w:r w:rsidR="002514B0">
        <w:t xml:space="preserve"> </w:t>
      </w:r>
      <w:r w:rsidRPr="003C7F6D">
        <w:t>produces</w:t>
      </w:r>
      <w:r w:rsidR="002514B0">
        <w:t xml:space="preserve"> </w:t>
      </w:r>
      <w:r w:rsidRPr="003C7F6D">
        <w:t>9125</w:t>
      </w:r>
      <w:r w:rsidR="002514B0">
        <w:t xml:space="preserve"> </w:t>
      </w:r>
      <w:r w:rsidRPr="003C7F6D">
        <w:t>kWh</w:t>
      </w:r>
      <w:r w:rsidR="002514B0">
        <w:t xml:space="preserve"> </w:t>
      </w:r>
      <w:r w:rsidRPr="003C7F6D">
        <w:t>per</w:t>
      </w:r>
      <w:r w:rsidR="002514B0">
        <w:t xml:space="preserve"> </w:t>
      </w:r>
      <w:r w:rsidRPr="003C7F6D">
        <w:t>year.</w:t>
      </w:r>
      <w:r w:rsidR="002514B0">
        <w:t xml:space="preserve"> </w:t>
      </w:r>
    </w:p>
    <w:p w14:paraId="2BBB2405" w14:textId="77777777" w:rsidR="00A219CB" w:rsidRDefault="00D05E5F" w:rsidP="00A219CB">
      <w:pPr>
        <w:pStyle w:val="Quote"/>
        <w:numPr>
          <w:ilvl w:val="0"/>
          <w:numId w:val="35"/>
        </w:numPr>
      </w:pPr>
      <w:r w:rsidRPr="003C7F6D">
        <w:t>Dividing</w:t>
      </w:r>
      <w:r w:rsidR="002514B0">
        <w:t xml:space="preserve"> </w:t>
      </w:r>
      <w:r w:rsidRPr="003C7F6D">
        <w:t>$1175</w:t>
      </w:r>
      <w:r w:rsidR="002514B0">
        <w:t xml:space="preserve"> </w:t>
      </w:r>
      <w:r w:rsidRPr="003C7F6D">
        <w:t>by</w:t>
      </w:r>
      <w:r w:rsidR="002514B0">
        <w:t xml:space="preserve"> </w:t>
      </w:r>
      <w:r w:rsidRPr="003C7F6D">
        <w:t>9125</w:t>
      </w:r>
      <w:r w:rsidR="002514B0">
        <w:t xml:space="preserve"> </w:t>
      </w:r>
      <w:r w:rsidRPr="003C7F6D">
        <w:t>will</w:t>
      </w:r>
      <w:r w:rsidR="002514B0">
        <w:t xml:space="preserve"> </w:t>
      </w:r>
      <w:r w:rsidRPr="003C7F6D">
        <w:t>give</w:t>
      </w:r>
      <w:r w:rsidR="002514B0">
        <w:t xml:space="preserve"> </w:t>
      </w:r>
      <w:r w:rsidRPr="003C7F6D">
        <w:t>the</w:t>
      </w:r>
      <w:r w:rsidR="002514B0">
        <w:t xml:space="preserve"> </w:t>
      </w:r>
      <w:r w:rsidRPr="003C7F6D">
        <w:t>price</w:t>
      </w:r>
      <w:r w:rsidR="002514B0">
        <w:t xml:space="preserve"> </w:t>
      </w:r>
      <w:r w:rsidRPr="003C7F6D">
        <w:t>per</w:t>
      </w:r>
      <w:r w:rsidR="002514B0">
        <w:t xml:space="preserve"> </w:t>
      </w:r>
      <w:r w:rsidRPr="003C7F6D">
        <w:t>kWh;</w:t>
      </w:r>
      <w:r w:rsidR="002514B0">
        <w:t xml:space="preserve"> </w:t>
      </w:r>
      <w:r w:rsidRPr="003C7F6D">
        <w:t>it</w:t>
      </w:r>
      <w:r w:rsidR="002514B0">
        <w:t xml:space="preserve"> </w:t>
      </w:r>
      <w:r w:rsidRPr="003C7F6D">
        <w:t>is</w:t>
      </w:r>
      <w:r w:rsidR="002514B0">
        <w:t xml:space="preserve"> </w:t>
      </w:r>
      <w:r w:rsidRPr="003C7F6D">
        <w:t>$0.129</w:t>
      </w:r>
      <w:r w:rsidR="002514B0">
        <w:t xml:space="preserve"> </w:t>
      </w:r>
      <w:r w:rsidRPr="003C7F6D">
        <w:t>per</w:t>
      </w:r>
      <w:r w:rsidR="002514B0">
        <w:t xml:space="preserve"> </w:t>
      </w:r>
      <w:r w:rsidRPr="003C7F6D">
        <w:t>kWh.</w:t>
      </w:r>
      <w:r w:rsidR="002514B0">
        <w:t xml:space="preserve"> </w:t>
      </w:r>
    </w:p>
    <w:p w14:paraId="532AAEF0" w14:textId="2121E0D6" w:rsidR="00D05E5F" w:rsidRPr="0082203E" w:rsidRDefault="00D05E5F" w:rsidP="006F057A">
      <w:pPr>
        <w:pStyle w:val="Quote"/>
        <w:numPr>
          <w:ilvl w:val="0"/>
          <w:numId w:val="35"/>
        </w:numPr>
      </w:pPr>
      <w:r w:rsidRPr="00103AD4">
        <w:t>Dividing</w:t>
      </w:r>
      <w:r w:rsidR="002514B0" w:rsidRPr="00103AD4">
        <w:t xml:space="preserve"> </w:t>
      </w:r>
      <w:r w:rsidRPr="00103AD4">
        <w:t>that</w:t>
      </w:r>
      <w:r w:rsidR="002514B0" w:rsidRPr="006F309F">
        <w:t xml:space="preserve"> </w:t>
      </w:r>
      <w:r w:rsidRPr="006F309F">
        <w:t>by</w:t>
      </w:r>
      <w:r w:rsidR="002514B0" w:rsidRPr="00E94C9A">
        <w:t xml:space="preserve"> </w:t>
      </w:r>
      <w:r w:rsidRPr="00ED39D1">
        <w:t>$0.11</w:t>
      </w:r>
      <w:r w:rsidR="002514B0" w:rsidRPr="00ED39D1">
        <w:t xml:space="preserve"> </w:t>
      </w:r>
      <w:r w:rsidRPr="00ED39D1">
        <w:t>means</w:t>
      </w:r>
      <w:r w:rsidR="002514B0" w:rsidRPr="00ED39D1">
        <w:t xml:space="preserve"> </w:t>
      </w:r>
      <w:r w:rsidRPr="008A34D4">
        <w:t>CLEP</w:t>
      </w:r>
      <w:r w:rsidR="002514B0" w:rsidRPr="00B55C8E">
        <w:t xml:space="preserve"> </w:t>
      </w:r>
      <w:r w:rsidRPr="0082203E">
        <w:t>pays</w:t>
      </w:r>
      <w:r w:rsidR="002514B0" w:rsidRPr="0082203E">
        <w:t xml:space="preserve"> </w:t>
      </w:r>
      <w:r w:rsidRPr="0082203E">
        <w:t>17%</w:t>
      </w:r>
      <w:r w:rsidR="002514B0" w:rsidRPr="0082203E">
        <w:t xml:space="preserve"> </w:t>
      </w:r>
      <w:r w:rsidRPr="0082203E">
        <w:t>higher</w:t>
      </w:r>
      <w:r w:rsidR="002514B0" w:rsidRPr="0082203E">
        <w:t xml:space="preserve"> </w:t>
      </w:r>
      <w:r w:rsidRPr="0082203E">
        <w:t>than</w:t>
      </w:r>
      <w:r w:rsidR="002514B0" w:rsidRPr="0082203E">
        <w:t xml:space="preserve"> </w:t>
      </w:r>
      <w:r w:rsidRPr="0082203E">
        <w:t>Retail.</w:t>
      </w:r>
    </w:p>
    <w:p w14:paraId="27861FD4" w14:textId="435A4E81" w:rsidR="00D05E5F" w:rsidRDefault="00D05E5F" w:rsidP="00D05E5F">
      <w:pPr>
        <w:pStyle w:val="ListParagraph"/>
        <w:spacing w:line="240" w:lineRule="auto"/>
        <w:ind w:left="360" w:right="50" w:firstLine="0"/>
        <w:jc w:val="left"/>
      </w:pPr>
    </w:p>
    <w:p w14:paraId="7A829482" w14:textId="77777777" w:rsidR="004311A2" w:rsidRPr="003C7F6D" w:rsidRDefault="004311A2" w:rsidP="00D05E5F">
      <w:pPr>
        <w:pStyle w:val="ListParagraph"/>
        <w:spacing w:line="240" w:lineRule="auto"/>
        <w:ind w:left="360" w:right="50" w:firstLine="0"/>
        <w:jc w:val="left"/>
      </w:pPr>
    </w:p>
    <w:p w14:paraId="193745C8" w14:textId="7CC26101" w:rsidR="004311A2" w:rsidRPr="004311A2" w:rsidRDefault="004311A2" w:rsidP="0054595A">
      <w:pPr>
        <w:pStyle w:val="BodyText"/>
      </w:pPr>
      <w:r>
        <w:t>Citations</w:t>
      </w:r>
      <w:r w:rsidR="002514B0">
        <w:t xml:space="preserve"> </w:t>
      </w:r>
      <w:r>
        <w:t>for</w:t>
      </w:r>
      <w:r w:rsidR="002514B0">
        <w:t xml:space="preserve"> </w:t>
      </w:r>
      <w:r>
        <w:t>entries</w:t>
      </w:r>
      <w:r w:rsidR="002514B0">
        <w:t xml:space="preserve"> </w:t>
      </w:r>
      <w:r>
        <w:t>in</w:t>
      </w:r>
      <w:r w:rsidR="002514B0">
        <w:t xml:space="preserve"> </w:t>
      </w:r>
      <w:r>
        <w:t>Table</w:t>
      </w:r>
      <w:r w:rsidR="002514B0">
        <w:t xml:space="preserve"> </w:t>
      </w:r>
      <w:r>
        <w:t>1</w:t>
      </w:r>
      <w:r w:rsidR="002514B0">
        <w:t xml:space="preserve"> </w:t>
      </w:r>
      <w:r>
        <w:t>come</w:t>
      </w:r>
      <w:r w:rsidR="002514B0">
        <w:t xml:space="preserve"> </w:t>
      </w:r>
      <w:r>
        <w:t>from</w:t>
      </w:r>
      <w:r w:rsidR="002514B0">
        <w:t xml:space="preserve"> </w:t>
      </w:r>
      <w:r>
        <w:t>BSI</w:t>
      </w:r>
      <w:r w:rsidR="002514B0">
        <w:t xml:space="preserve"> </w:t>
      </w:r>
      <w:r>
        <w:t>Direct</w:t>
      </w:r>
      <w:r w:rsidR="002514B0">
        <w:t xml:space="preserve"> </w:t>
      </w:r>
      <w:r>
        <w:t>Testimony</w:t>
      </w:r>
      <w:r w:rsidR="002514B0">
        <w:t xml:space="preserve"> </w:t>
      </w:r>
      <w:r>
        <w:t>for</w:t>
      </w:r>
      <w:r w:rsidR="002514B0">
        <w:t xml:space="preserve"> </w:t>
      </w:r>
      <w:r>
        <w:t>each</w:t>
      </w:r>
      <w:r w:rsidR="002514B0">
        <w:t xml:space="preserve"> </w:t>
      </w:r>
      <w:r>
        <w:t>row</w:t>
      </w:r>
      <w:r w:rsidR="002514B0">
        <w:t xml:space="preserve"> </w:t>
      </w:r>
      <w:r>
        <w:t>on</w:t>
      </w:r>
      <w:r w:rsidR="002514B0">
        <w:t xml:space="preserve"> </w:t>
      </w:r>
      <w:r>
        <w:t>pages:</w:t>
      </w:r>
    </w:p>
    <w:p w14:paraId="3BEE60D8" w14:textId="7F31D157" w:rsidR="004311A2" w:rsidRPr="004311A2" w:rsidRDefault="004311A2" w:rsidP="0054595A">
      <w:pPr>
        <w:pStyle w:val="BodyText"/>
        <w:numPr>
          <w:ilvl w:val="0"/>
          <w:numId w:val="32"/>
        </w:numPr>
      </w:pPr>
      <w:r>
        <w:t>Dishwasher</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w:t>
      </w:r>
      <w:r w:rsidR="002514B0">
        <w:t xml:space="preserve"> </w:t>
      </w:r>
      <w:r>
        <w:t>27.</w:t>
      </w:r>
    </w:p>
    <w:p w14:paraId="430611A4" w14:textId="1F1F271A" w:rsidR="004311A2" w:rsidRPr="004311A2" w:rsidRDefault="004311A2" w:rsidP="0054595A">
      <w:pPr>
        <w:pStyle w:val="BodyText"/>
        <w:numPr>
          <w:ilvl w:val="0"/>
          <w:numId w:val="32"/>
        </w:numPr>
      </w:pPr>
      <w:r>
        <w:t>Timed</w:t>
      </w:r>
      <w:r w:rsidR="002514B0">
        <w:t xml:space="preserve"> </w:t>
      </w:r>
      <w:r>
        <w:t>Water</w:t>
      </w:r>
      <w:r w:rsidR="002514B0">
        <w:t xml:space="preserve"> </w:t>
      </w:r>
      <w:r>
        <w:t>Heater</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pages</w:t>
      </w:r>
      <w:r w:rsidR="002514B0">
        <w:t xml:space="preserve"> </w:t>
      </w:r>
      <w:r>
        <w:t>27</w:t>
      </w:r>
      <w:r w:rsidR="002514B0">
        <w:t xml:space="preserve"> </w:t>
      </w:r>
      <w:r>
        <w:t>–</w:t>
      </w:r>
      <w:r w:rsidR="002514B0">
        <w:t xml:space="preserve"> </w:t>
      </w:r>
      <w:r>
        <w:t>28.</w:t>
      </w:r>
    </w:p>
    <w:p w14:paraId="4DF6EBA5" w14:textId="7C4A09B8" w:rsidR="004311A2" w:rsidRPr="004311A2" w:rsidRDefault="004311A2" w:rsidP="0054595A">
      <w:pPr>
        <w:pStyle w:val="BodyText"/>
        <w:numPr>
          <w:ilvl w:val="0"/>
          <w:numId w:val="32"/>
        </w:numPr>
      </w:pPr>
      <w:r>
        <w:t>Heat</w:t>
      </w:r>
      <w:r w:rsidR="002514B0">
        <w:t xml:space="preserve"> </w:t>
      </w:r>
      <w:r>
        <w:t>Pump</w:t>
      </w:r>
      <w:r w:rsidR="002514B0">
        <w:t xml:space="preserve"> </w:t>
      </w:r>
      <w:r>
        <w:t>Water</w:t>
      </w:r>
      <w:r w:rsidR="002514B0">
        <w:t xml:space="preserve"> </w:t>
      </w:r>
      <w:r>
        <w:t>Heater</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w:t>
      </w:r>
      <w:r w:rsidR="002514B0">
        <w:t xml:space="preserve"> </w:t>
      </w:r>
      <w:r>
        <w:t>28.</w:t>
      </w:r>
    </w:p>
    <w:p w14:paraId="14BAF242" w14:textId="342FF286" w:rsidR="004311A2" w:rsidRPr="004311A2" w:rsidRDefault="004311A2" w:rsidP="0054595A">
      <w:pPr>
        <w:pStyle w:val="BodyText"/>
        <w:numPr>
          <w:ilvl w:val="0"/>
          <w:numId w:val="32"/>
        </w:numPr>
      </w:pPr>
      <w:r>
        <w:t>Ice</w:t>
      </w:r>
      <w:r w:rsidR="002514B0">
        <w:t xml:space="preserve"> </w:t>
      </w:r>
      <w:r>
        <w:t>Making</w:t>
      </w:r>
      <w:r w:rsidR="002514B0">
        <w:t xml:space="preserve"> </w:t>
      </w:r>
      <w:r>
        <w:t>AC</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pages</w:t>
      </w:r>
      <w:r w:rsidR="002514B0">
        <w:t xml:space="preserve"> </w:t>
      </w:r>
      <w:r>
        <w:t>28</w:t>
      </w:r>
      <w:r w:rsidR="002514B0">
        <w:t xml:space="preserve"> </w:t>
      </w:r>
      <w:r>
        <w:t>–</w:t>
      </w:r>
      <w:r w:rsidR="002514B0">
        <w:t xml:space="preserve"> </w:t>
      </w:r>
      <w:r>
        <w:t>29.</w:t>
      </w:r>
    </w:p>
    <w:p w14:paraId="62EC953B" w14:textId="6B71F2B1" w:rsidR="004311A2" w:rsidRPr="004311A2" w:rsidRDefault="004311A2" w:rsidP="0054595A">
      <w:pPr>
        <w:pStyle w:val="BodyText"/>
        <w:numPr>
          <w:ilvl w:val="0"/>
          <w:numId w:val="32"/>
        </w:numPr>
      </w:pPr>
      <w:r>
        <w:t>Electric</w:t>
      </w:r>
      <w:r w:rsidR="002514B0">
        <w:t xml:space="preserve"> </w:t>
      </w:r>
      <w:r>
        <w:t>Battery</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pages</w:t>
      </w:r>
      <w:r w:rsidR="002514B0">
        <w:t xml:space="preserve"> </w:t>
      </w:r>
      <w:r>
        <w:t>29</w:t>
      </w:r>
      <w:r w:rsidR="002514B0">
        <w:t xml:space="preserve"> </w:t>
      </w:r>
      <w:r>
        <w:t>–</w:t>
      </w:r>
      <w:r w:rsidR="002514B0">
        <w:t xml:space="preserve"> </w:t>
      </w:r>
      <w:r>
        <w:t>30.</w:t>
      </w:r>
    </w:p>
    <w:p w14:paraId="2925EEAC" w14:textId="47C359FD" w:rsidR="004311A2" w:rsidRDefault="004311A2" w:rsidP="0054595A">
      <w:pPr>
        <w:pStyle w:val="BodyText"/>
        <w:numPr>
          <w:ilvl w:val="0"/>
          <w:numId w:val="32"/>
        </w:numPr>
      </w:pPr>
      <w:r>
        <w:t>Community</w:t>
      </w:r>
      <w:r w:rsidR="002514B0">
        <w:t xml:space="preserve"> </w:t>
      </w:r>
      <w:r>
        <w:t>Solar</w:t>
      </w:r>
      <w:r w:rsidR="002514B0">
        <w:t xml:space="preserve"> </w:t>
      </w:r>
      <w:r>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w:t>
      </w:r>
      <w:r w:rsidR="002514B0">
        <w:t xml:space="preserve"> </w:t>
      </w:r>
      <w:r>
        <w:t>31.</w:t>
      </w:r>
    </w:p>
    <w:p w14:paraId="6D4977B3" w14:textId="0C9A687A" w:rsidR="004311A2" w:rsidRPr="004311A2" w:rsidRDefault="004311A2" w:rsidP="0054595A">
      <w:pPr>
        <w:pStyle w:val="BodyText"/>
        <w:numPr>
          <w:ilvl w:val="0"/>
          <w:numId w:val="32"/>
        </w:numPr>
      </w:pPr>
      <w:r>
        <w:t>HPWH,</w:t>
      </w:r>
      <w:r w:rsidR="002514B0">
        <w:t xml:space="preserve"> </w:t>
      </w:r>
      <w:r>
        <w:t>Ice-Making</w:t>
      </w:r>
      <w:r w:rsidR="002514B0">
        <w:t xml:space="preserve"> </w:t>
      </w:r>
      <w:r>
        <w:t>AC</w:t>
      </w:r>
      <w:r w:rsidR="002514B0">
        <w:t xml:space="preserve"> </w:t>
      </w:r>
      <w:r>
        <w:t>&amp;</w:t>
      </w:r>
      <w:r w:rsidR="002514B0">
        <w:t xml:space="preserve"> </w:t>
      </w:r>
      <w:r>
        <w:t>Electric</w:t>
      </w:r>
      <w:r w:rsidR="002514B0">
        <w:t xml:space="preserve"> </w:t>
      </w:r>
      <w:r>
        <w:t>Battery</w:t>
      </w:r>
      <w:r w:rsidR="002514B0">
        <w:t xml:space="preserve"> </w:t>
      </w:r>
      <w:r w:rsidR="0054595A">
        <w:t>row</w:t>
      </w:r>
      <w:r w:rsidR="002514B0">
        <w:t xml:space="preserve"> </w:t>
      </w:r>
      <w:r>
        <w:t>can</w:t>
      </w:r>
      <w:r w:rsidR="002514B0">
        <w:t xml:space="preserve"> </w:t>
      </w:r>
      <w:r>
        <w:t>be</w:t>
      </w:r>
      <w:r w:rsidR="002514B0">
        <w:t xml:space="preserve"> </w:t>
      </w:r>
      <w:r>
        <w:t>found</w:t>
      </w:r>
      <w:r w:rsidR="002514B0">
        <w:t xml:space="preserve"> </w:t>
      </w:r>
      <w:r>
        <w:t>on</w:t>
      </w:r>
      <w:r w:rsidR="002514B0">
        <w:t xml:space="preserve"> </w:t>
      </w:r>
      <w:r>
        <w:t>page</w:t>
      </w:r>
      <w:r w:rsidR="002514B0">
        <w:t xml:space="preserve"> </w:t>
      </w:r>
      <w:r>
        <w:t>33.</w:t>
      </w:r>
    </w:p>
    <w:p w14:paraId="4F058EF2" w14:textId="77777777" w:rsidR="00BD44F3" w:rsidRDefault="00D05E5F">
      <w:pPr>
        <w:widowControl/>
      </w:pPr>
      <w:r w:rsidRPr="003C7F6D">
        <w:br w:type="page"/>
      </w:r>
    </w:p>
    <w:p w14:paraId="5A3342A2" w14:textId="7BB8D19C" w:rsidR="00091687" w:rsidRPr="003C7F6D" w:rsidRDefault="001C7AB1" w:rsidP="00091687">
      <w:pPr>
        <w:pStyle w:val="Heading1"/>
        <w:rPr>
          <w:b w:val="0"/>
          <w:sz w:val="24"/>
          <w:szCs w:val="24"/>
        </w:rPr>
      </w:pPr>
      <w:bookmarkStart w:id="112" w:name="_Appendix_2._SURREBUTTAL"/>
      <w:bookmarkStart w:id="113" w:name="_Toc16090447"/>
      <w:bookmarkStart w:id="114" w:name="_Toc16165428"/>
      <w:bookmarkStart w:id="115" w:name="_Toc16317747"/>
      <w:bookmarkStart w:id="116" w:name="_Toc16254911"/>
      <w:bookmarkEnd w:id="112"/>
      <w:r>
        <w:lastRenderedPageBreak/>
        <w:t>Appendix</w:t>
      </w:r>
      <w:r w:rsidR="002514B0">
        <w:t xml:space="preserve"> </w:t>
      </w:r>
      <w:r>
        <w:t>2</w:t>
      </w:r>
      <w:r w:rsidR="00091687" w:rsidRPr="003C7F6D">
        <w:t>.</w:t>
      </w:r>
      <w:r w:rsidR="002514B0">
        <w:t xml:space="preserve"> </w:t>
      </w:r>
      <w:r w:rsidR="00AE3470" w:rsidRPr="00AE3470">
        <w:rPr>
          <w:b w:val="0"/>
          <w:bCs w:val="0"/>
        </w:rPr>
        <w:t>SUR</w:t>
      </w:r>
      <w:r w:rsidR="00091687" w:rsidRPr="00AE3470">
        <w:rPr>
          <w:b w:val="0"/>
          <w:bCs w:val="0"/>
          <w:sz w:val="24"/>
          <w:szCs w:val="24"/>
        </w:rPr>
        <w:t>R</w:t>
      </w:r>
      <w:r w:rsidR="00091687" w:rsidRPr="003C7F6D">
        <w:rPr>
          <w:b w:val="0"/>
          <w:sz w:val="24"/>
          <w:szCs w:val="24"/>
        </w:rPr>
        <w:t>EBUTTAL</w:t>
      </w:r>
      <w:r w:rsidR="002514B0">
        <w:rPr>
          <w:b w:val="0"/>
          <w:sz w:val="24"/>
          <w:szCs w:val="24"/>
        </w:rPr>
        <w:t xml:space="preserve"> </w:t>
      </w:r>
      <w:r w:rsidR="00091687" w:rsidRPr="003C7F6D">
        <w:rPr>
          <w:b w:val="0"/>
          <w:sz w:val="24"/>
          <w:szCs w:val="24"/>
        </w:rPr>
        <w:t>TESTIMONY</w:t>
      </w:r>
      <w:bookmarkEnd w:id="113"/>
      <w:bookmarkEnd w:id="114"/>
      <w:bookmarkEnd w:id="115"/>
      <w:bookmarkEnd w:id="116"/>
      <w:r w:rsidR="002514B0">
        <w:rPr>
          <w:b w:val="0"/>
          <w:sz w:val="24"/>
          <w:szCs w:val="24"/>
        </w:rPr>
        <w:t xml:space="preserve"> </w:t>
      </w:r>
    </w:p>
    <w:p w14:paraId="4AF4CA83" w14:textId="77777777" w:rsidR="00511610" w:rsidRPr="003C7F6D" w:rsidRDefault="00511610" w:rsidP="003C6728"/>
    <w:p w14:paraId="2C09EC1E" w14:textId="5C2714DD" w:rsidR="00511610" w:rsidRPr="003C7F6D" w:rsidRDefault="00511610" w:rsidP="003C6728"/>
    <w:p w14:paraId="13B3FD4A" w14:textId="624AE4EA" w:rsidR="00511610" w:rsidRPr="003C7F6D" w:rsidRDefault="00511610" w:rsidP="00996655">
      <w:pPr>
        <w:jc w:val="center"/>
        <w:rPr>
          <w:b/>
          <w:sz w:val="24"/>
          <w:szCs w:val="24"/>
        </w:rPr>
      </w:pPr>
      <w:r w:rsidRPr="003C7F6D">
        <w:rPr>
          <w:b/>
          <w:sz w:val="24"/>
          <w:szCs w:val="24"/>
        </w:rPr>
        <w:t>BEFORE</w:t>
      </w:r>
      <w:r w:rsidR="002514B0">
        <w:rPr>
          <w:b/>
          <w:sz w:val="24"/>
          <w:szCs w:val="24"/>
        </w:rPr>
        <w:t xml:space="preserve"> </w:t>
      </w:r>
      <w:r w:rsidRPr="003C7F6D">
        <w:rPr>
          <w:b/>
          <w:sz w:val="24"/>
          <w:szCs w:val="24"/>
        </w:rPr>
        <w:t>THE</w:t>
      </w:r>
    </w:p>
    <w:p w14:paraId="7B08B0CF" w14:textId="1CACD1D1" w:rsidR="00511610" w:rsidRPr="003C7F6D" w:rsidRDefault="00511610" w:rsidP="00996655">
      <w:pPr>
        <w:jc w:val="center"/>
        <w:rPr>
          <w:b/>
          <w:sz w:val="24"/>
          <w:szCs w:val="24"/>
        </w:rPr>
      </w:pPr>
      <w:r w:rsidRPr="003C7F6D">
        <w:rPr>
          <w:b/>
          <w:sz w:val="24"/>
          <w:szCs w:val="24"/>
        </w:rPr>
        <w:t>COUNCIL</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CITY</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NEW</w:t>
      </w:r>
      <w:r w:rsidR="002514B0">
        <w:rPr>
          <w:b/>
          <w:sz w:val="24"/>
          <w:szCs w:val="24"/>
        </w:rPr>
        <w:t xml:space="preserve"> </w:t>
      </w:r>
      <w:r w:rsidRPr="003C7F6D">
        <w:rPr>
          <w:b/>
          <w:sz w:val="24"/>
          <w:szCs w:val="24"/>
        </w:rPr>
        <w:t>ORLEANS</w:t>
      </w:r>
    </w:p>
    <w:p w14:paraId="1773E67E" w14:textId="77777777" w:rsidR="00511610" w:rsidRPr="003C7F6D" w:rsidRDefault="00511610" w:rsidP="003C6728">
      <w:pPr>
        <w:rPr>
          <w:b/>
          <w:sz w:val="24"/>
          <w:szCs w:val="24"/>
        </w:rPr>
      </w:pPr>
    </w:p>
    <w:p w14:paraId="545E3BD3" w14:textId="77777777" w:rsidR="00511610" w:rsidRPr="003C7F6D" w:rsidRDefault="00511610" w:rsidP="003C6728">
      <w:pPr>
        <w:rPr>
          <w:b/>
          <w:sz w:val="24"/>
          <w:szCs w:val="24"/>
        </w:rPr>
      </w:pPr>
    </w:p>
    <w:p w14:paraId="3E29F581" w14:textId="77777777" w:rsidR="00511610" w:rsidRPr="003C7F6D" w:rsidRDefault="00511610" w:rsidP="003C6728">
      <w:pPr>
        <w:rPr>
          <w:b/>
          <w:sz w:val="24"/>
          <w:szCs w:val="24"/>
        </w:rPr>
        <w:sectPr w:rsidR="00511610" w:rsidRPr="003C7F6D" w:rsidSect="00C543E4">
          <w:footerReference w:type="default" r:id="rId14"/>
          <w:pgSz w:w="12240" w:h="15840"/>
          <w:pgMar w:top="1440" w:right="1080" w:bottom="1440" w:left="1080" w:header="720" w:footer="720" w:gutter="0"/>
          <w:cols w:space="720"/>
          <w:titlePg/>
          <w:docGrid w:linePitch="360"/>
        </w:sectPr>
      </w:pPr>
    </w:p>
    <w:p w14:paraId="6ABC2642" w14:textId="2BBE44AF" w:rsidR="00511610" w:rsidRPr="003C7F6D" w:rsidRDefault="00511610" w:rsidP="003C6728">
      <w:pPr>
        <w:rPr>
          <w:b/>
          <w:sz w:val="24"/>
          <w:szCs w:val="24"/>
        </w:rPr>
      </w:pPr>
      <w:r w:rsidRPr="003C7F6D">
        <w:rPr>
          <w:b/>
          <w:sz w:val="24"/>
          <w:szCs w:val="24"/>
        </w:rPr>
        <w:t>APPLICATION</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ENTERGY</w:t>
      </w:r>
      <w:r w:rsidR="002514B0">
        <w:rPr>
          <w:b/>
          <w:sz w:val="24"/>
          <w:szCs w:val="24"/>
        </w:rPr>
        <w:t xml:space="preserve"> </w:t>
      </w:r>
      <w:r w:rsidRPr="003C7F6D">
        <w:rPr>
          <w:b/>
          <w:sz w:val="24"/>
          <w:szCs w:val="24"/>
        </w:rPr>
        <w:t>NEW</w:t>
      </w:r>
      <w:r w:rsidR="002514B0">
        <w:rPr>
          <w:b/>
          <w:sz w:val="24"/>
          <w:szCs w:val="24"/>
        </w:rPr>
        <w:t xml:space="preserve"> </w:t>
      </w:r>
      <w:r w:rsidRPr="003C7F6D">
        <w:rPr>
          <w:b/>
          <w:sz w:val="24"/>
          <w:szCs w:val="24"/>
        </w:rPr>
        <w:t>ORLEANS,</w:t>
      </w:r>
      <w:r w:rsidR="002514B0">
        <w:rPr>
          <w:b/>
          <w:sz w:val="24"/>
          <w:szCs w:val="24"/>
        </w:rPr>
        <w:t xml:space="preserve"> </w:t>
      </w:r>
      <w:r w:rsidRPr="003C7F6D">
        <w:rPr>
          <w:b/>
          <w:sz w:val="24"/>
          <w:szCs w:val="24"/>
        </w:rPr>
        <w:t>LLC</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A</w:t>
      </w:r>
      <w:r w:rsidR="002514B0">
        <w:rPr>
          <w:b/>
          <w:sz w:val="24"/>
          <w:szCs w:val="24"/>
        </w:rPr>
        <w:t xml:space="preserve"> </w:t>
      </w:r>
      <w:r w:rsidRPr="003C7F6D">
        <w:rPr>
          <w:b/>
          <w:sz w:val="24"/>
          <w:szCs w:val="24"/>
        </w:rPr>
        <w:t>CHANGE</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ELECTRIC</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GAS</w:t>
      </w:r>
      <w:r w:rsidR="002514B0">
        <w:rPr>
          <w:b/>
          <w:sz w:val="24"/>
          <w:szCs w:val="24"/>
        </w:rPr>
        <w:t xml:space="preserve"> </w:t>
      </w:r>
      <w:r w:rsidRPr="003C7F6D">
        <w:rPr>
          <w:b/>
          <w:sz w:val="24"/>
          <w:szCs w:val="24"/>
        </w:rPr>
        <w:t>RATES</w:t>
      </w:r>
      <w:r w:rsidR="002514B0">
        <w:rPr>
          <w:b/>
          <w:sz w:val="24"/>
          <w:szCs w:val="24"/>
        </w:rPr>
        <w:t xml:space="preserve"> </w:t>
      </w:r>
      <w:r w:rsidRPr="003C7F6D">
        <w:rPr>
          <w:b/>
          <w:sz w:val="24"/>
          <w:szCs w:val="24"/>
        </w:rPr>
        <w:t>PURSUANT</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RESOLUTIONS</w:t>
      </w:r>
    </w:p>
    <w:p w14:paraId="4F14AE5B" w14:textId="0423B35C" w:rsidR="00511610" w:rsidRPr="003C7F6D" w:rsidRDefault="00511610" w:rsidP="003C6728">
      <w:pPr>
        <w:rPr>
          <w:b/>
          <w:sz w:val="24"/>
          <w:szCs w:val="24"/>
        </w:rPr>
      </w:pPr>
      <w:r w:rsidRPr="003C7F6D">
        <w:rPr>
          <w:b/>
          <w:sz w:val="24"/>
          <w:szCs w:val="24"/>
        </w:rPr>
        <w:t>R-15-194</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R-17-504</w:t>
      </w:r>
      <w:r w:rsidR="002514B0">
        <w:rPr>
          <w:b/>
          <w:sz w:val="24"/>
          <w:szCs w:val="24"/>
        </w:rPr>
        <w:t xml:space="preserve"> </w:t>
      </w:r>
    </w:p>
    <w:p w14:paraId="6771C6FA" w14:textId="05962A0E" w:rsidR="00511610" w:rsidRPr="003C7F6D" w:rsidRDefault="00511610" w:rsidP="003C6728">
      <w:pPr>
        <w:rPr>
          <w:b/>
          <w:sz w:val="24"/>
          <w:szCs w:val="24"/>
        </w:rPr>
      </w:pPr>
      <w:r w:rsidRPr="003C7F6D">
        <w:rPr>
          <w:b/>
          <w:sz w:val="24"/>
          <w:szCs w:val="24"/>
        </w:rPr>
        <w:t>AND</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RELATED</w:t>
      </w:r>
      <w:r w:rsidR="002514B0">
        <w:rPr>
          <w:b/>
          <w:sz w:val="24"/>
          <w:szCs w:val="24"/>
        </w:rPr>
        <w:t xml:space="preserve"> </w:t>
      </w:r>
      <w:r w:rsidRPr="003C7F6D">
        <w:rPr>
          <w:b/>
          <w:sz w:val="24"/>
          <w:szCs w:val="24"/>
        </w:rPr>
        <w:t>RELIEF</w:t>
      </w:r>
    </w:p>
    <w:p w14:paraId="12EB5092" w14:textId="77777777" w:rsidR="00511610" w:rsidRPr="003C7F6D" w:rsidRDefault="00511610" w:rsidP="003C6728">
      <w:pPr>
        <w:rPr>
          <w:b/>
          <w:sz w:val="24"/>
          <w:szCs w:val="24"/>
        </w:rPr>
      </w:pPr>
    </w:p>
    <w:p w14:paraId="687EAC28" w14:textId="77777777" w:rsidR="00511610" w:rsidRPr="003C7F6D" w:rsidRDefault="00511610" w:rsidP="003C6728">
      <w:pPr>
        <w:rPr>
          <w:b/>
          <w:sz w:val="24"/>
          <w:szCs w:val="24"/>
        </w:rPr>
      </w:pPr>
      <w:r w:rsidRPr="003C7F6D">
        <w:rPr>
          <w:b/>
          <w:sz w:val="24"/>
          <w:szCs w:val="24"/>
        </w:rPr>
        <w:t>)</w:t>
      </w:r>
    </w:p>
    <w:p w14:paraId="5E9F606F" w14:textId="77777777" w:rsidR="00511610" w:rsidRPr="003C7F6D" w:rsidRDefault="00511610" w:rsidP="003C6728">
      <w:pPr>
        <w:rPr>
          <w:b/>
          <w:sz w:val="24"/>
          <w:szCs w:val="24"/>
        </w:rPr>
      </w:pPr>
      <w:r w:rsidRPr="003C7F6D">
        <w:rPr>
          <w:b/>
          <w:sz w:val="24"/>
          <w:szCs w:val="24"/>
        </w:rPr>
        <w:t>)</w:t>
      </w:r>
    </w:p>
    <w:p w14:paraId="23435D5D" w14:textId="7BF0FD16" w:rsidR="00511610" w:rsidRPr="003C7F6D" w:rsidRDefault="00511610" w:rsidP="003C6728">
      <w:pPr>
        <w:rPr>
          <w:b/>
          <w:sz w:val="24"/>
          <w:szCs w:val="24"/>
        </w:rPr>
      </w:pPr>
      <w:r w:rsidRPr="003C7F6D">
        <w:rPr>
          <w:b/>
          <w:sz w:val="24"/>
          <w:szCs w:val="24"/>
        </w:rPr>
        <w:t>)</w:t>
      </w:r>
      <w:r w:rsidR="002514B0">
        <w:rPr>
          <w:b/>
          <w:sz w:val="24"/>
          <w:szCs w:val="24"/>
        </w:rPr>
        <w:t xml:space="preserve"> </w:t>
      </w:r>
      <w:r w:rsidRPr="003C7F6D">
        <w:rPr>
          <w:b/>
          <w:sz w:val="24"/>
          <w:szCs w:val="24"/>
        </w:rPr>
        <w:t>DOCKET</w:t>
      </w:r>
      <w:r w:rsidR="002514B0">
        <w:rPr>
          <w:b/>
          <w:sz w:val="24"/>
          <w:szCs w:val="24"/>
        </w:rPr>
        <w:t xml:space="preserve"> </w:t>
      </w:r>
      <w:r w:rsidRPr="003C7F6D">
        <w:rPr>
          <w:b/>
          <w:sz w:val="24"/>
          <w:szCs w:val="24"/>
        </w:rPr>
        <w:t>NO.</w:t>
      </w:r>
      <w:r w:rsidR="002514B0">
        <w:rPr>
          <w:b/>
          <w:sz w:val="24"/>
          <w:szCs w:val="24"/>
        </w:rPr>
        <w:t xml:space="preserve"> </w:t>
      </w:r>
      <w:r w:rsidRPr="003C7F6D">
        <w:rPr>
          <w:b/>
          <w:sz w:val="24"/>
          <w:szCs w:val="24"/>
        </w:rPr>
        <w:t>UD-18-07</w:t>
      </w:r>
    </w:p>
    <w:p w14:paraId="6A6186DC" w14:textId="77777777" w:rsidR="00511610" w:rsidRPr="003C7F6D" w:rsidRDefault="00511610" w:rsidP="003C6728">
      <w:pPr>
        <w:rPr>
          <w:b/>
          <w:sz w:val="24"/>
          <w:szCs w:val="24"/>
        </w:rPr>
      </w:pPr>
      <w:r w:rsidRPr="003C7F6D">
        <w:rPr>
          <w:b/>
          <w:sz w:val="24"/>
          <w:szCs w:val="24"/>
        </w:rPr>
        <w:t>)</w:t>
      </w:r>
    </w:p>
    <w:p w14:paraId="3A7F8A1A" w14:textId="77777777" w:rsidR="00511610" w:rsidRPr="003C7F6D" w:rsidRDefault="00511610" w:rsidP="003C6728">
      <w:pPr>
        <w:rPr>
          <w:b/>
          <w:sz w:val="24"/>
          <w:szCs w:val="24"/>
        </w:rPr>
      </w:pPr>
      <w:r w:rsidRPr="003C7F6D">
        <w:rPr>
          <w:b/>
          <w:sz w:val="24"/>
          <w:szCs w:val="24"/>
        </w:rPr>
        <w:t>)</w:t>
      </w:r>
    </w:p>
    <w:p w14:paraId="49E1DBAA" w14:textId="77777777" w:rsidR="00511610" w:rsidRPr="003C7F6D" w:rsidRDefault="00511610" w:rsidP="003C6728">
      <w:pPr>
        <w:rPr>
          <w:b/>
          <w:sz w:val="24"/>
          <w:szCs w:val="24"/>
        </w:rPr>
      </w:pPr>
      <w:r w:rsidRPr="003C7F6D">
        <w:rPr>
          <w:b/>
          <w:sz w:val="24"/>
          <w:szCs w:val="24"/>
        </w:rPr>
        <w:t>)</w:t>
      </w:r>
    </w:p>
    <w:p w14:paraId="78B4E8E3" w14:textId="77777777" w:rsidR="00511610" w:rsidRPr="003C7F6D" w:rsidRDefault="00511610" w:rsidP="003C6728">
      <w:pPr>
        <w:rPr>
          <w:b/>
          <w:sz w:val="24"/>
          <w:szCs w:val="24"/>
        </w:rPr>
      </w:pPr>
      <w:r w:rsidRPr="003C7F6D">
        <w:rPr>
          <w:b/>
          <w:sz w:val="24"/>
          <w:szCs w:val="24"/>
        </w:rPr>
        <w:t>)</w:t>
      </w:r>
    </w:p>
    <w:p w14:paraId="4F574E64" w14:textId="77777777" w:rsidR="00511610" w:rsidRPr="003C7F6D" w:rsidRDefault="00511610" w:rsidP="003C6728">
      <w:pPr>
        <w:rPr>
          <w:b/>
          <w:sz w:val="24"/>
          <w:szCs w:val="24"/>
        </w:rPr>
        <w:sectPr w:rsidR="00511610" w:rsidRPr="003C7F6D" w:rsidSect="00E0438D">
          <w:type w:val="continuous"/>
          <w:pgSz w:w="12240" w:h="15840"/>
          <w:pgMar w:top="1440" w:right="1080" w:bottom="1440" w:left="1080" w:header="720" w:footer="720" w:gutter="0"/>
          <w:cols w:num="2" w:space="288" w:equalWidth="0">
            <w:col w:w="4896" w:space="288"/>
            <w:col w:w="4896" w:space="144"/>
          </w:cols>
          <w:docGrid w:linePitch="360"/>
        </w:sectPr>
      </w:pPr>
    </w:p>
    <w:p w14:paraId="63672AF7" w14:textId="718A5CED" w:rsidR="00511610" w:rsidRPr="003C7F6D" w:rsidRDefault="00511610" w:rsidP="00996655">
      <w:pPr>
        <w:jc w:val="center"/>
        <w:rPr>
          <w:b/>
          <w:sz w:val="24"/>
          <w:szCs w:val="24"/>
        </w:rPr>
      </w:pPr>
    </w:p>
    <w:p w14:paraId="07E8415E" w14:textId="579E240D" w:rsidR="00511610" w:rsidRPr="003C7F6D" w:rsidRDefault="00511610" w:rsidP="00996655">
      <w:pPr>
        <w:jc w:val="center"/>
        <w:rPr>
          <w:b/>
          <w:sz w:val="24"/>
          <w:szCs w:val="24"/>
        </w:rPr>
      </w:pPr>
      <w:r w:rsidRPr="003C7F6D">
        <w:rPr>
          <w:b/>
          <w:sz w:val="24"/>
          <w:szCs w:val="24"/>
        </w:rPr>
        <w:t>RESPONSE</w:t>
      </w:r>
      <w:r w:rsidR="002514B0">
        <w:rPr>
          <w:b/>
          <w:sz w:val="24"/>
          <w:szCs w:val="24"/>
        </w:rPr>
        <w:t xml:space="preserve"> </w:t>
      </w:r>
      <w:r w:rsidRPr="003C7F6D">
        <w:rPr>
          <w:b/>
          <w:sz w:val="24"/>
          <w:szCs w:val="24"/>
        </w:rPr>
        <w:t>TO</w:t>
      </w:r>
    </w:p>
    <w:p w14:paraId="74205B62" w14:textId="77777777" w:rsidR="00511610" w:rsidRPr="003C7F6D" w:rsidRDefault="00511610" w:rsidP="00996655">
      <w:pPr>
        <w:jc w:val="center"/>
        <w:rPr>
          <w:b/>
          <w:sz w:val="24"/>
          <w:szCs w:val="24"/>
        </w:rPr>
      </w:pPr>
    </w:p>
    <w:p w14:paraId="185EAD33" w14:textId="09ED6176" w:rsidR="00511610" w:rsidRPr="003C7F6D" w:rsidRDefault="00511610" w:rsidP="00996655">
      <w:pPr>
        <w:jc w:val="center"/>
        <w:rPr>
          <w:b/>
          <w:sz w:val="24"/>
          <w:szCs w:val="24"/>
        </w:rPr>
      </w:pPr>
      <w:r w:rsidRPr="003C7F6D">
        <w:rPr>
          <w:b/>
          <w:sz w:val="24"/>
          <w:szCs w:val="24"/>
        </w:rPr>
        <w:t>REBUTTAL</w:t>
      </w:r>
      <w:r w:rsidR="002514B0">
        <w:rPr>
          <w:b/>
          <w:sz w:val="24"/>
          <w:szCs w:val="24"/>
        </w:rPr>
        <w:t xml:space="preserve"> </w:t>
      </w:r>
      <w:r w:rsidRPr="003C7F6D">
        <w:rPr>
          <w:b/>
          <w:sz w:val="24"/>
          <w:szCs w:val="24"/>
        </w:rPr>
        <w:t>TESTIMONY</w:t>
      </w:r>
    </w:p>
    <w:p w14:paraId="032734E7" w14:textId="77777777" w:rsidR="00511610" w:rsidRPr="003C7F6D" w:rsidRDefault="00511610" w:rsidP="00996655">
      <w:pPr>
        <w:jc w:val="center"/>
        <w:rPr>
          <w:b/>
          <w:sz w:val="24"/>
          <w:szCs w:val="24"/>
        </w:rPr>
      </w:pPr>
      <w:r w:rsidRPr="003C7F6D">
        <w:rPr>
          <w:b/>
          <w:sz w:val="24"/>
          <w:szCs w:val="24"/>
        </w:rPr>
        <w:t>BY</w:t>
      </w:r>
    </w:p>
    <w:p w14:paraId="12253E50" w14:textId="07D89FEB" w:rsidR="00511610" w:rsidRPr="003C7F6D" w:rsidRDefault="00511610" w:rsidP="00996655">
      <w:pPr>
        <w:jc w:val="center"/>
        <w:rPr>
          <w:b/>
          <w:sz w:val="24"/>
          <w:szCs w:val="24"/>
        </w:rPr>
      </w:pPr>
      <w:r w:rsidRPr="003C7F6D">
        <w:rPr>
          <w:b/>
          <w:sz w:val="24"/>
          <w:szCs w:val="24"/>
        </w:rPr>
        <w:t>MYRON</w:t>
      </w:r>
      <w:r w:rsidR="002514B0">
        <w:rPr>
          <w:b/>
          <w:sz w:val="24"/>
          <w:szCs w:val="24"/>
        </w:rPr>
        <w:t xml:space="preserve"> </w:t>
      </w:r>
      <w:r w:rsidRPr="003C7F6D">
        <w:rPr>
          <w:b/>
          <w:sz w:val="24"/>
          <w:szCs w:val="24"/>
        </w:rPr>
        <w:t>KATZ,</w:t>
      </w:r>
      <w:r w:rsidR="002514B0">
        <w:rPr>
          <w:b/>
          <w:sz w:val="24"/>
          <w:szCs w:val="24"/>
        </w:rPr>
        <w:t xml:space="preserve"> </w:t>
      </w:r>
      <w:r w:rsidRPr="003C7F6D">
        <w:rPr>
          <w:b/>
          <w:sz w:val="24"/>
          <w:szCs w:val="24"/>
        </w:rPr>
        <w:t>PhD</w:t>
      </w:r>
    </w:p>
    <w:p w14:paraId="39D445FA" w14:textId="0F79B28A" w:rsidR="00511610" w:rsidRPr="003C7F6D" w:rsidRDefault="00511610" w:rsidP="00996655">
      <w:pPr>
        <w:jc w:val="center"/>
        <w:rPr>
          <w:b/>
          <w:sz w:val="24"/>
          <w:szCs w:val="24"/>
        </w:rPr>
      </w:pPr>
      <w:r w:rsidRPr="003C7F6D">
        <w:rPr>
          <w:b/>
          <w:sz w:val="24"/>
          <w:szCs w:val="24"/>
        </w:rPr>
        <w:t>ON</w:t>
      </w:r>
      <w:r w:rsidR="002514B0">
        <w:rPr>
          <w:b/>
          <w:sz w:val="24"/>
          <w:szCs w:val="24"/>
        </w:rPr>
        <w:t xml:space="preserve"> </w:t>
      </w:r>
      <w:r w:rsidRPr="003C7F6D">
        <w:rPr>
          <w:b/>
          <w:sz w:val="24"/>
          <w:szCs w:val="24"/>
        </w:rPr>
        <w:t>BEHALF</w:t>
      </w:r>
      <w:r w:rsidR="002514B0">
        <w:rPr>
          <w:b/>
          <w:sz w:val="24"/>
          <w:szCs w:val="24"/>
        </w:rPr>
        <w:t xml:space="preserve"> </w:t>
      </w:r>
      <w:r w:rsidRPr="003C7F6D">
        <w:rPr>
          <w:b/>
          <w:sz w:val="24"/>
          <w:szCs w:val="24"/>
        </w:rPr>
        <w:t>OF</w:t>
      </w:r>
    </w:p>
    <w:p w14:paraId="1F8D5A2B" w14:textId="495C3356" w:rsidR="00511610" w:rsidRPr="003C7F6D" w:rsidRDefault="00511610" w:rsidP="00996655">
      <w:pPr>
        <w:jc w:val="center"/>
        <w:rPr>
          <w:b/>
          <w:sz w:val="24"/>
          <w:szCs w:val="24"/>
        </w:rPr>
      </w:pPr>
      <w:r w:rsidRPr="003C7F6D">
        <w:rPr>
          <w:b/>
          <w:sz w:val="24"/>
          <w:szCs w:val="24"/>
        </w:rPr>
        <w:t>BUILDING</w:t>
      </w:r>
      <w:r w:rsidR="002514B0">
        <w:rPr>
          <w:b/>
          <w:sz w:val="24"/>
          <w:szCs w:val="24"/>
        </w:rPr>
        <w:t xml:space="preserve"> </w:t>
      </w:r>
      <w:r w:rsidRPr="003C7F6D">
        <w:rPr>
          <w:b/>
          <w:sz w:val="24"/>
          <w:szCs w:val="24"/>
        </w:rPr>
        <w:t>SCIENCE</w:t>
      </w:r>
      <w:r w:rsidR="002514B0">
        <w:rPr>
          <w:b/>
          <w:sz w:val="24"/>
          <w:szCs w:val="24"/>
        </w:rPr>
        <w:t xml:space="preserve"> </w:t>
      </w:r>
      <w:r w:rsidRPr="003C7F6D">
        <w:rPr>
          <w:b/>
          <w:sz w:val="24"/>
          <w:szCs w:val="24"/>
        </w:rPr>
        <w:t>INNOVATORS,</w:t>
      </w:r>
      <w:r w:rsidR="002514B0">
        <w:rPr>
          <w:b/>
          <w:sz w:val="24"/>
          <w:szCs w:val="24"/>
        </w:rPr>
        <w:t xml:space="preserve"> </w:t>
      </w:r>
      <w:r w:rsidRPr="003C7F6D">
        <w:rPr>
          <w:b/>
          <w:sz w:val="24"/>
          <w:szCs w:val="24"/>
        </w:rPr>
        <w:t>LLC</w:t>
      </w:r>
    </w:p>
    <w:p w14:paraId="0CC8EF01" w14:textId="77777777" w:rsidR="00511610" w:rsidRPr="003C7F6D" w:rsidRDefault="00511610" w:rsidP="003C6728">
      <w:pPr>
        <w:rPr>
          <w:sz w:val="24"/>
          <w:szCs w:val="24"/>
        </w:rPr>
        <w:sectPr w:rsidR="00511610" w:rsidRPr="003C7F6D" w:rsidSect="00E0438D">
          <w:type w:val="continuous"/>
          <w:pgSz w:w="12240" w:h="15840"/>
          <w:pgMar w:top="1440" w:right="1080" w:bottom="1440" w:left="1080" w:header="720" w:footer="720" w:gutter="0"/>
          <w:pgNumType w:start="1"/>
          <w:cols w:space="720"/>
          <w:docGrid w:linePitch="360"/>
        </w:sectPr>
      </w:pPr>
      <w:r w:rsidRPr="003C7F6D">
        <w:rPr>
          <w:sz w:val="24"/>
          <w:szCs w:val="24"/>
        </w:rPr>
        <w:br w:type="page"/>
      </w:r>
    </w:p>
    <w:p w14:paraId="1385A281" w14:textId="41FAF6B3" w:rsidR="00511610" w:rsidRPr="003C7F6D" w:rsidRDefault="00511610" w:rsidP="003C6728">
      <w:pPr>
        <w:rPr>
          <w:b/>
          <w:sz w:val="24"/>
          <w:szCs w:val="24"/>
        </w:rPr>
      </w:pPr>
      <w:r w:rsidRPr="003C7F6D">
        <w:rPr>
          <w:b/>
          <w:sz w:val="24"/>
          <w:szCs w:val="24"/>
        </w:rPr>
        <w:lastRenderedPageBreak/>
        <w:t>Q1.</w:t>
      </w:r>
      <w:r w:rsidR="002514B0">
        <w:rPr>
          <w:b/>
          <w:sz w:val="24"/>
          <w:szCs w:val="24"/>
        </w:rPr>
        <w:t xml:space="preserve"> </w:t>
      </w:r>
      <w:r w:rsidRPr="003C7F6D">
        <w:rPr>
          <w:b/>
          <w:sz w:val="24"/>
          <w:szCs w:val="24"/>
        </w:rPr>
        <w:tab/>
        <w:t>Dr.</w:t>
      </w:r>
      <w:r w:rsidR="002514B0">
        <w:rPr>
          <w:b/>
          <w:sz w:val="24"/>
          <w:szCs w:val="24"/>
        </w:rPr>
        <w:t xml:space="preserve"> </w:t>
      </w:r>
      <w:r w:rsidRPr="003C7F6D">
        <w:rPr>
          <w:b/>
          <w:sz w:val="24"/>
          <w:szCs w:val="24"/>
        </w:rPr>
        <w:t>Katz,</w:t>
      </w:r>
      <w:r w:rsidR="002514B0">
        <w:rPr>
          <w:b/>
          <w:sz w:val="24"/>
          <w:szCs w:val="24"/>
        </w:rPr>
        <w:t xml:space="preserve"> </w:t>
      </w:r>
      <w:r w:rsidRPr="003C7F6D">
        <w:rPr>
          <w:b/>
          <w:sz w:val="24"/>
          <w:szCs w:val="24"/>
        </w:rPr>
        <w:t>have</w:t>
      </w:r>
      <w:r w:rsidR="002514B0">
        <w:rPr>
          <w:b/>
          <w:sz w:val="24"/>
          <w:szCs w:val="24"/>
        </w:rPr>
        <w:t xml:space="preserve"> </w:t>
      </w:r>
      <w:r w:rsidRPr="003C7F6D">
        <w:rPr>
          <w:b/>
          <w:sz w:val="24"/>
          <w:szCs w:val="24"/>
        </w:rPr>
        <w:t>you</w:t>
      </w:r>
      <w:r w:rsidR="002514B0">
        <w:rPr>
          <w:b/>
          <w:sz w:val="24"/>
          <w:szCs w:val="24"/>
        </w:rPr>
        <w:t xml:space="preserve"> </w:t>
      </w:r>
      <w:r w:rsidRPr="003C7F6D">
        <w:rPr>
          <w:b/>
          <w:sz w:val="24"/>
          <w:szCs w:val="24"/>
        </w:rPr>
        <w:t>reviewed</w:t>
      </w:r>
      <w:r w:rsidR="002514B0">
        <w:rPr>
          <w:b/>
          <w:sz w:val="24"/>
          <w:szCs w:val="24"/>
        </w:rPr>
        <w:t xml:space="preserve"> </w:t>
      </w:r>
      <w:r w:rsidRPr="003C7F6D">
        <w:rPr>
          <w:b/>
          <w:sz w:val="24"/>
          <w:szCs w:val="24"/>
        </w:rPr>
        <w:t>ENO’s</w:t>
      </w:r>
      <w:r w:rsidR="002514B0">
        <w:rPr>
          <w:b/>
          <w:sz w:val="24"/>
          <w:szCs w:val="24"/>
        </w:rPr>
        <w:t xml:space="preserve"> </w:t>
      </w:r>
      <w:r w:rsidRPr="003C7F6D">
        <w:rPr>
          <w:b/>
          <w:sz w:val="24"/>
          <w:szCs w:val="24"/>
        </w:rPr>
        <w:t>response</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tariff</w:t>
      </w:r>
      <w:r w:rsidR="002514B0">
        <w:rPr>
          <w:b/>
          <w:sz w:val="24"/>
          <w:szCs w:val="24"/>
        </w:rPr>
        <w:t xml:space="preserve"> </w:t>
      </w:r>
      <w:r w:rsidRPr="003C7F6D">
        <w:rPr>
          <w:b/>
          <w:sz w:val="24"/>
          <w:szCs w:val="24"/>
        </w:rPr>
        <w:t>that</w:t>
      </w:r>
      <w:r w:rsidR="002514B0">
        <w:rPr>
          <w:b/>
          <w:sz w:val="24"/>
          <w:szCs w:val="24"/>
        </w:rPr>
        <w:t xml:space="preserve"> </w:t>
      </w:r>
      <w:r w:rsidRPr="003C7F6D">
        <w:rPr>
          <w:b/>
          <w:sz w:val="24"/>
          <w:szCs w:val="24"/>
        </w:rPr>
        <w:t>you</w:t>
      </w:r>
      <w:r w:rsidR="002514B0">
        <w:rPr>
          <w:b/>
          <w:sz w:val="24"/>
          <w:szCs w:val="24"/>
        </w:rPr>
        <w:t xml:space="preserve"> </w:t>
      </w:r>
      <w:r w:rsidRPr="003C7F6D">
        <w:rPr>
          <w:b/>
          <w:sz w:val="24"/>
          <w:szCs w:val="24"/>
        </w:rPr>
        <w:t>have</w:t>
      </w:r>
      <w:r w:rsidR="002514B0">
        <w:rPr>
          <w:b/>
          <w:sz w:val="24"/>
          <w:szCs w:val="24"/>
        </w:rPr>
        <w:t xml:space="preserve"> </w:t>
      </w:r>
      <w:r w:rsidRPr="003C7F6D">
        <w:rPr>
          <w:b/>
          <w:sz w:val="24"/>
          <w:szCs w:val="24"/>
        </w:rPr>
        <w:t>proposed?</w:t>
      </w:r>
    </w:p>
    <w:p w14:paraId="08B7D7A1" w14:textId="6FFD1906"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Yes,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portion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Andrew</w:t>
      </w:r>
      <w:r w:rsidR="002514B0">
        <w:rPr>
          <w:sz w:val="24"/>
          <w:szCs w:val="24"/>
        </w:rPr>
        <w:t xml:space="preserve"> </w:t>
      </w:r>
      <w:r w:rsidRPr="003C7F6D">
        <w:rPr>
          <w:sz w:val="24"/>
          <w:szCs w:val="24"/>
        </w:rPr>
        <w:t>Owens’</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specifically</w:t>
      </w:r>
      <w:r w:rsidR="002514B0">
        <w:rPr>
          <w:sz w:val="24"/>
          <w:szCs w:val="24"/>
        </w:rPr>
        <w:t xml:space="preserve"> </w:t>
      </w:r>
      <w:r w:rsidRPr="003C7F6D">
        <w:rPr>
          <w:sz w:val="24"/>
          <w:szCs w:val="24"/>
        </w:rPr>
        <w:t>focused</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Customer</w:t>
      </w:r>
      <w:r w:rsidR="002514B0">
        <w:rPr>
          <w:sz w:val="24"/>
          <w:szCs w:val="24"/>
        </w:rPr>
        <w:t xml:space="preserve"> </w:t>
      </w:r>
      <w:r w:rsidRPr="003C7F6D">
        <w:rPr>
          <w:sz w:val="24"/>
          <w:szCs w:val="24"/>
        </w:rPr>
        <w:t>Lowered</w:t>
      </w:r>
      <w:r w:rsidR="002514B0">
        <w:rPr>
          <w:sz w:val="24"/>
          <w:szCs w:val="24"/>
        </w:rPr>
        <w:t xml:space="preserve"> </w:t>
      </w:r>
      <w:r w:rsidRPr="003C7F6D">
        <w:rPr>
          <w:sz w:val="24"/>
          <w:szCs w:val="24"/>
        </w:rPr>
        <w:t>Electricity</w:t>
      </w:r>
      <w:r w:rsidR="002514B0">
        <w:rPr>
          <w:sz w:val="24"/>
          <w:szCs w:val="24"/>
        </w:rPr>
        <w:t xml:space="preserve"> </w:t>
      </w:r>
      <w:r w:rsidRPr="003C7F6D">
        <w:rPr>
          <w:sz w:val="24"/>
          <w:szCs w:val="24"/>
        </w:rPr>
        <w:t>Price</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he</w:t>
      </w:r>
      <w:r w:rsidR="002514B0">
        <w:rPr>
          <w:sz w:val="24"/>
          <w:szCs w:val="24"/>
        </w:rPr>
        <w:t xml:space="preserve"> </w:t>
      </w:r>
      <w:r w:rsidRPr="003C7F6D">
        <w:rPr>
          <w:sz w:val="24"/>
          <w:szCs w:val="24"/>
        </w:rPr>
        <w:t>makes</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specific</w:t>
      </w:r>
      <w:r w:rsidR="002514B0">
        <w:rPr>
          <w:sz w:val="24"/>
          <w:szCs w:val="24"/>
        </w:rPr>
        <w:t xml:space="preserve"> </w:t>
      </w:r>
      <w:r w:rsidRPr="003C7F6D">
        <w:rPr>
          <w:sz w:val="24"/>
          <w:szCs w:val="24"/>
        </w:rPr>
        <w:t>objection</w:t>
      </w:r>
      <w:r w:rsidR="002514B0">
        <w:rPr>
          <w:sz w:val="24"/>
          <w:szCs w:val="24"/>
        </w:rPr>
        <w:t xml:space="preserve"> </w:t>
      </w:r>
      <w:r w:rsidRPr="003C7F6D">
        <w:rPr>
          <w:sz w:val="24"/>
          <w:szCs w:val="24"/>
        </w:rPr>
        <w:t>or</w:t>
      </w:r>
      <w:r w:rsidR="002514B0">
        <w:rPr>
          <w:sz w:val="24"/>
          <w:szCs w:val="24"/>
        </w:rPr>
        <w:t xml:space="preserve"> </w:t>
      </w:r>
      <w:r w:rsidRPr="003C7F6D">
        <w:rPr>
          <w:sz w:val="24"/>
          <w:szCs w:val="24"/>
        </w:rPr>
        <w:t>analysis,</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instead</w:t>
      </w:r>
      <w:r w:rsidR="002514B0">
        <w:rPr>
          <w:sz w:val="24"/>
          <w:szCs w:val="24"/>
        </w:rPr>
        <w:t xml:space="preserve"> </w:t>
      </w:r>
      <w:r w:rsidRPr="003C7F6D">
        <w:rPr>
          <w:sz w:val="24"/>
          <w:szCs w:val="24"/>
        </w:rPr>
        <w:t>incorporates</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reference</w:t>
      </w:r>
      <w:r w:rsidR="002514B0">
        <w:rPr>
          <w:sz w:val="24"/>
          <w:szCs w:val="24"/>
        </w:rPr>
        <w:t xml:space="preserve"> </w:t>
      </w:r>
      <w:r w:rsidRPr="003C7F6D">
        <w:rPr>
          <w:sz w:val="24"/>
          <w:szCs w:val="24"/>
        </w:rPr>
        <w:t>all</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objections</w:t>
      </w:r>
      <w:r w:rsidR="002514B0">
        <w:rPr>
          <w:sz w:val="24"/>
          <w:szCs w:val="24"/>
        </w:rPr>
        <w:t xml:space="preserve"> </w:t>
      </w:r>
      <w:r w:rsidRPr="003C7F6D">
        <w:rPr>
          <w:sz w:val="24"/>
          <w:szCs w:val="24"/>
        </w:rPr>
        <w:t>set</w:t>
      </w:r>
      <w:r w:rsidR="002514B0">
        <w:rPr>
          <w:sz w:val="24"/>
          <w:szCs w:val="24"/>
        </w:rPr>
        <w:t xml:space="preserve"> </w:t>
      </w:r>
      <w:r w:rsidRPr="003C7F6D">
        <w:rPr>
          <w:sz w:val="24"/>
          <w:szCs w:val="24"/>
        </w:rPr>
        <w:t>forth</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Nos</w:t>
      </w:r>
      <w:r w:rsidR="002514B0">
        <w:rPr>
          <w:sz w:val="24"/>
          <w:szCs w:val="24"/>
        </w:rPr>
        <w:t xml:space="preserve"> </w:t>
      </w:r>
      <w:r w:rsidRPr="003C7F6D">
        <w:rPr>
          <w:sz w:val="24"/>
          <w:szCs w:val="24"/>
        </w:rPr>
        <w:t>R-16-106</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R-17-100.</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entirety</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relative</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follows:</w:t>
      </w:r>
    </w:p>
    <w:p w14:paraId="0FD7E7C6" w14:textId="17647255" w:rsidR="00511610" w:rsidRPr="00AE3470" w:rsidRDefault="00511610" w:rsidP="003C6728">
      <w:pPr>
        <w:rPr>
          <w:rStyle w:val="QuoteChar"/>
        </w:rPr>
      </w:pPr>
      <w:r w:rsidRPr="003C7F6D">
        <w:rPr>
          <w:sz w:val="24"/>
          <w:szCs w:val="24"/>
        </w:rPr>
        <w:tab/>
        <w:t>“</w:t>
      </w:r>
      <w:r w:rsidRPr="00AE3470">
        <w:rPr>
          <w:rStyle w:val="QuoteChar"/>
        </w:rPr>
        <w:t>BSI</w:t>
      </w:r>
      <w:r w:rsidR="002514B0">
        <w:rPr>
          <w:rStyle w:val="QuoteChar"/>
        </w:rPr>
        <w:t xml:space="preserve"> </w:t>
      </w:r>
      <w:r w:rsidRPr="00AE3470">
        <w:rPr>
          <w:rStyle w:val="QuoteChar"/>
        </w:rPr>
        <w:t>appears</w:t>
      </w:r>
      <w:r w:rsidR="002514B0">
        <w:rPr>
          <w:rStyle w:val="QuoteChar"/>
        </w:rPr>
        <w:t xml:space="preserve"> </w:t>
      </w:r>
      <w:r w:rsidRPr="00AE3470">
        <w:rPr>
          <w:rStyle w:val="QuoteChar"/>
        </w:rPr>
        <w:t>to</w:t>
      </w:r>
      <w:r w:rsidR="002514B0">
        <w:rPr>
          <w:rStyle w:val="QuoteChar"/>
        </w:rPr>
        <w:t xml:space="preserve"> </w:t>
      </w:r>
      <w:r w:rsidRPr="00AE3470">
        <w:rPr>
          <w:rStyle w:val="QuoteChar"/>
        </w:rPr>
        <w:t>be</w:t>
      </w:r>
      <w:r w:rsidR="002514B0">
        <w:rPr>
          <w:rStyle w:val="QuoteChar"/>
        </w:rPr>
        <w:t xml:space="preserve"> </w:t>
      </w:r>
      <w:r w:rsidRPr="00AE3470">
        <w:rPr>
          <w:rStyle w:val="QuoteChar"/>
        </w:rPr>
        <w:t>proposing</w:t>
      </w:r>
      <w:r w:rsidR="002514B0">
        <w:rPr>
          <w:rStyle w:val="QuoteChar"/>
        </w:rPr>
        <w:t xml:space="preserve"> </w:t>
      </w:r>
      <w:r w:rsidRPr="00AE3470">
        <w:rPr>
          <w:rStyle w:val="QuoteChar"/>
        </w:rPr>
        <w:t>the</w:t>
      </w:r>
      <w:r w:rsidR="002514B0">
        <w:rPr>
          <w:rStyle w:val="QuoteChar"/>
        </w:rPr>
        <w:t xml:space="preserve"> </w:t>
      </w:r>
      <w:r w:rsidRPr="00AE3470">
        <w:rPr>
          <w:rStyle w:val="QuoteChar"/>
        </w:rPr>
        <w:t>same</w:t>
      </w:r>
      <w:r w:rsidR="002514B0">
        <w:rPr>
          <w:rStyle w:val="QuoteChar"/>
        </w:rPr>
        <w:t xml:space="preserve"> </w:t>
      </w:r>
      <w:r w:rsidRPr="00AE3470">
        <w:rPr>
          <w:rStyle w:val="QuoteChar"/>
        </w:rPr>
        <w:t>concept</w:t>
      </w:r>
      <w:r w:rsidR="002514B0">
        <w:rPr>
          <w:rStyle w:val="QuoteChar"/>
        </w:rPr>
        <w:t xml:space="preserve"> </w:t>
      </w:r>
      <w:r w:rsidRPr="00AE3470">
        <w:rPr>
          <w:rStyle w:val="QuoteChar"/>
        </w:rPr>
        <w:t>that</w:t>
      </w:r>
      <w:r w:rsidR="002514B0">
        <w:rPr>
          <w:rStyle w:val="QuoteChar"/>
        </w:rPr>
        <w:t xml:space="preserve"> </w:t>
      </w:r>
      <w:r w:rsidRPr="00AE3470">
        <w:rPr>
          <w:rStyle w:val="QuoteChar"/>
        </w:rPr>
        <w:t>was</w:t>
      </w:r>
      <w:r w:rsidR="002514B0">
        <w:rPr>
          <w:rStyle w:val="QuoteChar"/>
        </w:rPr>
        <w:t xml:space="preserve"> </w:t>
      </w:r>
      <w:r w:rsidRPr="00AE3470">
        <w:rPr>
          <w:rStyle w:val="QuoteChar"/>
        </w:rPr>
        <w:t>rejected</w:t>
      </w:r>
      <w:r w:rsidR="002514B0">
        <w:rPr>
          <w:rStyle w:val="QuoteChar"/>
        </w:rPr>
        <w:t xml:space="preserve"> </w:t>
      </w:r>
      <w:r w:rsidRPr="00AE3470">
        <w:rPr>
          <w:rStyle w:val="QuoteChar"/>
        </w:rPr>
        <w:t>by</w:t>
      </w:r>
      <w:r w:rsidR="002514B0">
        <w:rPr>
          <w:rStyle w:val="QuoteChar"/>
        </w:rPr>
        <w:t xml:space="preserve"> </w:t>
      </w:r>
      <w:r w:rsidRPr="00AE3470">
        <w:rPr>
          <w:rStyle w:val="QuoteChar"/>
        </w:rPr>
        <w:t>the</w:t>
      </w:r>
      <w:r w:rsidR="002514B0">
        <w:rPr>
          <w:rStyle w:val="QuoteChar"/>
        </w:rPr>
        <w:t xml:space="preserve"> </w:t>
      </w:r>
      <w:r w:rsidRPr="00AE3470">
        <w:rPr>
          <w:rStyle w:val="QuoteChar"/>
        </w:rPr>
        <w:t>Council</w:t>
      </w:r>
      <w:r w:rsidR="002514B0">
        <w:rPr>
          <w:rStyle w:val="QuoteChar"/>
        </w:rPr>
        <w:t xml:space="preserve"> </w:t>
      </w:r>
      <w:r w:rsidRPr="00AE3470">
        <w:rPr>
          <w:rStyle w:val="QuoteChar"/>
        </w:rPr>
        <w:t>in</w:t>
      </w:r>
      <w:r w:rsidR="002514B0">
        <w:rPr>
          <w:rStyle w:val="QuoteChar"/>
        </w:rPr>
        <w:t xml:space="preserve"> </w:t>
      </w:r>
      <w:r w:rsidRPr="00AE3470">
        <w:rPr>
          <w:rStyle w:val="QuoteChar"/>
        </w:rPr>
        <w:t>Resolution</w:t>
      </w:r>
      <w:r w:rsidR="002514B0">
        <w:rPr>
          <w:rStyle w:val="QuoteChar"/>
        </w:rPr>
        <w:t xml:space="preserve"> </w:t>
      </w:r>
      <w:r w:rsidRPr="00AE3470">
        <w:rPr>
          <w:rStyle w:val="QuoteChar"/>
        </w:rPr>
        <w:t>Nos.</w:t>
      </w:r>
      <w:r w:rsidR="002514B0">
        <w:rPr>
          <w:rStyle w:val="QuoteChar"/>
        </w:rPr>
        <w:t xml:space="preserve"> </w:t>
      </w:r>
      <w:r w:rsidRPr="00AE3470">
        <w:rPr>
          <w:rStyle w:val="QuoteChar"/>
        </w:rPr>
        <w:t>R-16-106</w:t>
      </w:r>
      <w:r w:rsidR="002514B0">
        <w:rPr>
          <w:rStyle w:val="QuoteChar"/>
        </w:rPr>
        <w:t xml:space="preserve"> </w:t>
      </w:r>
      <w:r w:rsidRPr="00AE3470">
        <w:rPr>
          <w:rStyle w:val="QuoteChar"/>
        </w:rPr>
        <w:t>and</w:t>
      </w:r>
      <w:r w:rsidR="002514B0">
        <w:rPr>
          <w:rStyle w:val="QuoteChar"/>
        </w:rPr>
        <w:t xml:space="preserve"> </w:t>
      </w:r>
      <w:r w:rsidRPr="00AE3470">
        <w:rPr>
          <w:rStyle w:val="QuoteChar"/>
        </w:rPr>
        <w:t>R-17-100.</w:t>
      </w:r>
      <w:r w:rsidR="002514B0">
        <w:rPr>
          <w:rStyle w:val="QuoteChar"/>
        </w:rPr>
        <w:t xml:space="preserve"> </w:t>
      </w:r>
      <w:r w:rsidRPr="00AE3470">
        <w:rPr>
          <w:rStyle w:val="QuoteChar"/>
        </w:rPr>
        <w:t>Those</w:t>
      </w:r>
      <w:r w:rsidR="002514B0">
        <w:rPr>
          <w:rStyle w:val="QuoteChar"/>
        </w:rPr>
        <w:t xml:space="preserve"> </w:t>
      </w:r>
      <w:r w:rsidRPr="00AE3470">
        <w:rPr>
          <w:rStyle w:val="QuoteChar"/>
        </w:rPr>
        <w:t>Resolutions</w:t>
      </w:r>
      <w:r w:rsidR="002514B0">
        <w:rPr>
          <w:rStyle w:val="QuoteChar"/>
        </w:rPr>
        <w:t xml:space="preserve"> </w:t>
      </w:r>
      <w:r w:rsidRPr="00AE3470">
        <w:rPr>
          <w:rStyle w:val="QuoteChar"/>
        </w:rPr>
        <w:t>identified</w:t>
      </w:r>
      <w:r w:rsidR="002514B0">
        <w:rPr>
          <w:rStyle w:val="QuoteChar"/>
        </w:rPr>
        <w:t xml:space="preserve"> </w:t>
      </w:r>
      <w:r w:rsidRPr="00AE3470">
        <w:rPr>
          <w:rStyle w:val="QuoteChar"/>
        </w:rPr>
        <w:t>several</w:t>
      </w:r>
      <w:r w:rsidR="002514B0">
        <w:rPr>
          <w:rStyle w:val="QuoteChar"/>
        </w:rPr>
        <w:t xml:space="preserve"> </w:t>
      </w:r>
      <w:r w:rsidRPr="00AE3470">
        <w:rPr>
          <w:rStyle w:val="QuoteChar"/>
        </w:rPr>
        <w:t>flaws</w:t>
      </w:r>
      <w:r w:rsidR="002514B0">
        <w:rPr>
          <w:rStyle w:val="QuoteChar"/>
        </w:rPr>
        <w:t xml:space="preserve"> </w:t>
      </w:r>
      <w:r w:rsidRPr="00AE3470">
        <w:rPr>
          <w:rStyle w:val="QuoteChar"/>
        </w:rPr>
        <w:t>with</w:t>
      </w:r>
      <w:r w:rsidR="002514B0">
        <w:rPr>
          <w:rStyle w:val="QuoteChar"/>
        </w:rPr>
        <w:t xml:space="preserve"> </w:t>
      </w:r>
      <w:r w:rsidRPr="00AE3470">
        <w:rPr>
          <w:rStyle w:val="QuoteChar"/>
        </w:rPr>
        <w:t>the</w:t>
      </w:r>
      <w:r w:rsidR="002514B0">
        <w:rPr>
          <w:rStyle w:val="QuoteChar"/>
        </w:rPr>
        <w:t xml:space="preserve"> </w:t>
      </w:r>
      <w:r w:rsidRPr="00AE3470">
        <w:rPr>
          <w:rStyle w:val="QuoteChar"/>
        </w:rPr>
        <w:t>proposed</w:t>
      </w:r>
      <w:r w:rsidR="002514B0">
        <w:rPr>
          <w:rStyle w:val="QuoteChar"/>
        </w:rPr>
        <w:t xml:space="preserve"> </w:t>
      </w:r>
      <w:r w:rsidRPr="00AE3470">
        <w:rPr>
          <w:rStyle w:val="QuoteChar"/>
        </w:rPr>
        <w:t>CLEP</w:t>
      </w:r>
      <w:r w:rsidR="002514B0">
        <w:rPr>
          <w:rStyle w:val="QuoteChar"/>
        </w:rPr>
        <w:t xml:space="preserve"> </w:t>
      </w:r>
      <w:r w:rsidRPr="00AE3470">
        <w:rPr>
          <w:rStyle w:val="QuoteChar"/>
        </w:rPr>
        <w:t>concept.</w:t>
      </w:r>
      <w:r w:rsidR="002514B0">
        <w:rPr>
          <w:rStyle w:val="QuoteChar"/>
        </w:rPr>
        <w:t xml:space="preserve"> </w:t>
      </w:r>
      <w:r w:rsidRPr="00AE3470">
        <w:rPr>
          <w:rStyle w:val="QuoteChar"/>
        </w:rPr>
        <w:t>Based</w:t>
      </w:r>
      <w:r w:rsidR="002514B0">
        <w:rPr>
          <w:rStyle w:val="QuoteChar"/>
        </w:rPr>
        <w:t xml:space="preserve"> </w:t>
      </w:r>
      <w:r w:rsidRPr="00AE3470">
        <w:rPr>
          <w:rStyle w:val="QuoteChar"/>
        </w:rPr>
        <w:t>on</w:t>
      </w:r>
      <w:r w:rsidR="002514B0">
        <w:rPr>
          <w:rStyle w:val="QuoteChar"/>
        </w:rPr>
        <w:t xml:space="preserve"> </w:t>
      </w:r>
      <w:r w:rsidRPr="00AE3470">
        <w:rPr>
          <w:rStyle w:val="QuoteChar"/>
        </w:rPr>
        <w:t>my</w:t>
      </w:r>
      <w:r w:rsidR="002514B0">
        <w:rPr>
          <w:rStyle w:val="QuoteChar"/>
        </w:rPr>
        <w:t xml:space="preserve"> </w:t>
      </w:r>
      <w:r w:rsidRPr="00AE3470">
        <w:rPr>
          <w:rStyle w:val="QuoteChar"/>
        </w:rPr>
        <w:t>review</w:t>
      </w:r>
      <w:r w:rsidR="002514B0">
        <w:rPr>
          <w:rStyle w:val="QuoteChar"/>
        </w:rPr>
        <w:t xml:space="preserve"> </w:t>
      </w:r>
      <w:r w:rsidRPr="00AE3470">
        <w:rPr>
          <w:rStyle w:val="QuoteChar"/>
        </w:rPr>
        <w:t>of</w:t>
      </w:r>
      <w:r w:rsidR="002514B0">
        <w:rPr>
          <w:rStyle w:val="QuoteChar"/>
        </w:rPr>
        <w:t xml:space="preserve"> </w:t>
      </w:r>
      <w:r w:rsidRPr="00AE3470">
        <w:rPr>
          <w:rStyle w:val="QuoteChar"/>
        </w:rPr>
        <w:t>Dr.</w:t>
      </w:r>
      <w:r w:rsidR="002514B0">
        <w:rPr>
          <w:rStyle w:val="QuoteChar"/>
        </w:rPr>
        <w:t xml:space="preserve"> </w:t>
      </w:r>
      <w:r w:rsidRPr="00AE3470">
        <w:rPr>
          <w:rStyle w:val="QuoteChar"/>
        </w:rPr>
        <w:t>Myron</w:t>
      </w:r>
      <w:r w:rsidR="002514B0">
        <w:rPr>
          <w:rStyle w:val="QuoteChar"/>
        </w:rPr>
        <w:t xml:space="preserve"> </w:t>
      </w:r>
      <w:r w:rsidRPr="00AE3470">
        <w:rPr>
          <w:rStyle w:val="QuoteChar"/>
        </w:rPr>
        <w:t>Katz’s</w:t>
      </w:r>
      <w:r w:rsidR="002514B0">
        <w:rPr>
          <w:rStyle w:val="QuoteChar"/>
        </w:rPr>
        <w:t xml:space="preserve"> </w:t>
      </w:r>
      <w:r w:rsidRPr="00AE3470">
        <w:rPr>
          <w:rStyle w:val="QuoteChar"/>
        </w:rPr>
        <w:t>Direct</w:t>
      </w:r>
      <w:r w:rsidR="002514B0">
        <w:rPr>
          <w:rStyle w:val="QuoteChar"/>
        </w:rPr>
        <w:t xml:space="preserve"> </w:t>
      </w:r>
      <w:r w:rsidRPr="00AE3470">
        <w:rPr>
          <w:rStyle w:val="QuoteChar"/>
        </w:rPr>
        <w:t>Testimony,</w:t>
      </w:r>
      <w:r w:rsidR="002514B0">
        <w:rPr>
          <w:rStyle w:val="QuoteChar"/>
        </w:rPr>
        <w:t xml:space="preserve"> </w:t>
      </w:r>
      <w:r w:rsidRPr="00AE3470">
        <w:rPr>
          <w:rStyle w:val="QuoteChar"/>
        </w:rPr>
        <w:t>it</w:t>
      </w:r>
      <w:r w:rsidR="002514B0">
        <w:rPr>
          <w:rStyle w:val="QuoteChar"/>
        </w:rPr>
        <w:t xml:space="preserve"> </w:t>
      </w:r>
      <w:r w:rsidRPr="00AE3470">
        <w:rPr>
          <w:rStyle w:val="QuoteChar"/>
        </w:rPr>
        <w:t>does</w:t>
      </w:r>
      <w:r w:rsidR="002514B0">
        <w:rPr>
          <w:rStyle w:val="QuoteChar"/>
        </w:rPr>
        <w:t xml:space="preserve"> </w:t>
      </w:r>
      <w:r w:rsidRPr="00AE3470">
        <w:rPr>
          <w:rStyle w:val="QuoteChar"/>
        </w:rPr>
        <w:t>not</w:t>
      </w:r>
      <w:r w:rsidR="002514B0">
        <w:rPr>
          <w:rStyle w:val="QuoteChar"/>
        </w:rPr>
        <w:t xml:space="preserve"> </w:t>
      </w:r>
      <w:r w:rsidRPr="00AE3470">
        <w:rPr>
          <w:rStyle w:val="QuoteChar"/>
        </w:rPr>
        <w:t>appear</w:t>
      </w:r>
      <w:r w:rsidR="002514B0">
        <w:rPr>
          <w:rStyle w:val="QuoteChar"/>
        </w:rPr>
        <w:t xml:space="preserve"> </w:t>
      </w:r>
      <w:r w:rsidRPr="00AE3470">
        <w:rPr>
          <w:rStyle w:val="QuoteChar"/>
        </w:rPr>
        <w:t>that</w:t>
      </w:r>
      <w:r w:rsidR="002514B0">
        <w:rPr>
          <w:rStyle w:val="QuoteChar"/>
        </w:rPr>
        <w:t xml:space="preserve"> </w:t>
      </w:r>
      <w:r w:rsidRPr="00AE3470">
        <w:rPr>
          <w:rStyle w:val="QuoteChar"/>
        </w:rPr>
        <w:t>BSI</w:t>
      </w:r>
      <w:r w:rsidR="002514B0">
        <w:rPr>
          <w:rStyle w:val="QuoteChar"/>
        </w:rPr>
        <w:t xml:space="preserve"> </w:t>
      </w:r>
      <w:r w:rsidRPr="00AE3470">
        <w:rPr>
          <w:rStyle w:val="QuoteChar"/>
        </w:rPr>
        <w:t>has</w:t>
      </w:r>
      <w:r w:rsidR="002514B0">
        <w:rPr>
          <w:rStyle w:val="QuoteChar"/>
        </w:rPr>
        <w:t xml:space="preserve"> </w:t>
      </w:r>
      <w:r w:rsidRPr="00AE3470">
        <w:rPr>
          <w:rStyle w:val="QuoteChar"/>
        </w:rPr>
        <w:t>addressed</w:t>
      </w:r>
      <w:r w:rsidR="002514B0">
        <w:rPr>
          <w:rStyle w:val="QuoteChar"/>
        </w:rPr>
        <w:t xml:space="preserve"> </w:t>
      </w:r>
      <w:r w:rsidRPr="00AE3470">
        <w:rPr>
          <w:rStyle w:val="QuoteChar"/>
        </w:rPr>
        <w:t>any</w:t>
      </w:r>
      <w:r w:rsidR="002514B0">
        <w:rPr>
          <w:rStyle w:val="QuoteChar"/>
        </w:rPr>
        <w:t xml:space="preserve"> </w:t>
      </w:r>
      <w:r w:rsidRPr="00AE3470">
        <w:rPr>
          <w:rStyle w:val="QuoteChar"/>
        </w:rPr>
        <w:t>of</w:t>
      </w:r>
      <w:r w:rsidR="002514B0">
        <w:rPr>
          <w:rStyle w:val="QuoteChar"/>
        </w:rPr>
        <w:t xml:space="preserve"> </w:t>
      </w:r>
      <w:r w:rsidRPr="00AE3470">
        <w:rPr>
          <w:rStyle w:val="QuoteChar"/>
        </w:rPr>
        <w:t>the</w:t>
      </w:r>
      <w:r w:rsidR="002514B0">
        <w:rPr>
          <w:rStyle w:val="QuoteChar"/>
        </w:rPr>
        <w:t xml:space="preserve"> </w:t>
      </w:r>
      <w:r w:rsidRPr="00AE3470">
        <w:rPr>
          <w:rStyle w:val="QuoteChar"/>
        </w:rPr>
        <w:t>Council’s</w:t>
      </w:r>
      <w:r w:rsidR="002514B0">
        <w:rPr>
          <w:rStyle w:val="QuoteChar"/>
        </w:rPr>
        <w:t xml:space="preserve"> </w:t>
      </w:r>
      <w:r w:rsidRPr="00AE3470">
        <w:rPr>
          <w:rStyle w:val="QuoteChar"/>
        </w:rPr>
        <w:t>previously</w:t>
      </w:r>
      <w:r w:rsidR="002514B0">
        <w:rPr>
          <w:rStyle w:val="QuoteChar"/>
        </w:rPr>
        <w:t xml:space="preserve"> </w:t>
      </w:r>
      <w:r w:rsidRPr="00AE3470">
        <w:rPr>
          <w:rStyle w:val="QuoteChar"/>
        </w:rPr>
        <w:t>stated</w:t>
      </w:r>
      <w:r w:rsidR="002514B0">
        <w:rPr>
          <w:rStyle w:val="QuoteChar"/>
        </w:rPr>
        <w:t xml:space="preserve"> </w:t>
      </w:r>
      <w:r w:rsidRPr="00AE3470">
        <w:rPr>
          <w:rStyle w:val="QuoteChar"/>
        </w:rPr>
        <w:t>concerns.</w:t>
      </w:r>
      <w:r w:rsidR="002514B0">
        <w:rPr>
          <w:rStyle w:val="QuoteChar"/>
        </w:rPr>
        <w:t xml:space="preserve"> </w:t>
      </w:r>
      <w:r w:rsidRPr="00AE3470">
        <w:rPr>
          <w:rStyle w:val="QuoteChar"/>
        </w:rPr>
        <w:t>As</w:t>
      </w:r>
      <w:r w:rsidR="002514B0">
        <w:rPr>
          <w:rStyle w:val="QuoteChar"/>
        </w:rPr>
        <w:t xml:space="preserve"> </w:t>
      </w:r>
      <w:r w:rsidRPr="00AE3470">
        <w:rPr>
          <w:rStyle w:val="QuoteChar"/>
        </w:rPr>
        <w:t>such,</w:t>
      </w:r>
      <w:r w:rsidR="002514B0">
        <w:rPr>
          <w:rStyle w:val="QuoteChar"/>
        </w:rPr>
        <w:t xml:space="preserve"> </w:t>
      </w:r>
      <w:r w:rsidRPr="00AE3470">
        <w:rPr>
          <w:rStyle w:val="QuoteChar"/>
        </w:rPr>
        <w:t>ENO</w:t>
      </w:r>
      <w:r w:rsidR="002514B0">
        <w:rPr>
          <w:rStyle w:val="QuoteChar"/>
        </w:rPr>
        <w:t xml:space="preserve"> </w:t>
      </w:r>
      <w:r w:rsidRPr="00AE3470">
        <w:rPr>
          <w:rStyle w:val="QuoteChar"/>
        </w:rPr>
        <w:t>is</w:t>
      </w:r>
      <w:r w:rsidR="002514B0">
        <w:rPr>
          <w:rStyle w:val="QuoteChar"/>
        </w:rPr>
        <w:t xml:space="preserve"> </w:t>
      </w:r>
      <w:r w:rsidRPr="00AE3470">
        <w:rPr>
          <w:rStyle w:val="QuoteChar"/>
        </w:rPr>
        <w:t>opposed</w:t>
      </w:r>
      <w:r w:rsidR="002514B0">
        <w:rPr>
          <w:rStyle w:val="QuoteChar"/>
        </w:rPr>
        <w:t xml:space="preserve"> </w:t>
      </w:r>
      <w:r w:rsidRPr="00AE3470">
        <w:rPr>
          <w:rStyle w:val="QuoteChar"/>
        </w:rPr>
        <w:t>to</w:t>
      </w:r>
      <w:r w:rsidR="002514B0">
        <w:rPr>
          <w:rStyle w:val="QuoteChar"/>
        </w:rPr>
        <w:t xml:space="preserve"> </w:t>
      </w:r>
      <w:r w:rsidRPr="00AE3470">
        <w:rPr>
          <w:rStyle w:val="QuoteChar"/>
        </w:rPr>
        <w:t>the</w:t>
      </w:r>
      <w:r w:rsidR="002514B0">
        <w:rPr>
          <w:rStyle w:val="QuoteChar"/>
        </w:rPr>
        <w:t xml:space="preserve"> </w:t>
      </w:r>
      <w:r w:rsidRPr="00AE3470">
        <w:rPr>
          <w:rStyle w:val="QuoteChar"/>
        </w:rPr>
        <w:t>implementation</w:t>
      </w:r>
      <w:r w:rsidR="002514B0">
        <w:rPr>
          <w:rStyle w:val="QuoteChar"/>
        </w:rPr>
        <w:t xml:space="preserve"> </w:t>
      </w:r>
      <w:r w:rsidRPr="00AE3470">
        <w:rPr>
          <w:rStyle w:val="QuoteChar"/>
        </w:rPr>
        <w:t>of</w:t>
      </w:r>
      <w:r w:rsidR="002514B0">
        <w:rPr>
          <w:rStyle w:val="QuoteChar"/>
        </w:rPr>
        <w:t xml:space="preserve"> </w:t>
      </w:r>
      <w:r w:rsidRPr="00AE3470">
        <w:rPr>
          <w:rStyle w:val="QuoteChar"/>
        </w:rPr>
        <w:t>BSI’s</w:t>
      </w:r>
      <w:r w:rsidR="002514B0">
        <w:rPr>
          <w:rStyle w:val="QuoteChar"/>
        </w:rPr>
        <w:t xml:space="preserve"> </w:t>
      </w:r>
      <w:r w:rsidRPr="00AE3470">
        <w:rPr>
          <w:rStyle w:val="QuoteChar"/>
        </w:rPr>
        <w:t>proposal.”</w:t>
      </w:r>
      <w:r w:rsidR="002514B0">
        <w:rPr>
          <w:rStyle w:val="QuoteChar"/>
        </w:rPr>
        <w:t xml:space="preserve"> </w:t>
      </w:r>
      <w:r w:rsidRPr="00AE3470">
        <w:rPr>
          <w:rStyle w:val="QuoteChar"/>
        </w:rPr>
        <w:t>ENO</w:t>
      </w:r>
      <w:r w:rsidR="002514B0">
        <w:rPr>
          <w:rStyle w:val="QuoteChar"/>
        </w:rPr>
        <w:t xml:space="preserve"> </w:t>
      </w:r>
      <w:r w:rsidRPr="00AE3470">
        <w:rPr>
          <w:rStyle w:val="QuoteChar"/>
        </w:rPr>
        <w:t>Rebuttal</w:t>
      </w:r>
      <w:r w:rsidR="002514B0">
        <w:rPr>
          <w:rStyle w:val="QuoteChar"/>
        </w:rPr>
        <w:t xml:space="preserve"> </w:t>
      </w:r>
      <w:r w:rsidRPr="00AE3470">
        <w:rPr>
          <w:rStyle w:val="QuoteChar"/>
        </w:rPr>
        <w:t>Testimony</w:t>
      </w:r>
      <w:r w:rsidR="002514B0">
        <w:rPr>
          <w:rStyle w:val="QuoteChar"/>
        </w:rPr>
        <w:t xml:space="preserve"> </w:t>
      </w:r>
      <w:r w:rsidRPr="00AE3470">
        <w:rPr>
          <w:rStyle w:val="QuoteChar"/>
        </w:rPr>
        <w:t>Andrew</w:t>
      </w:r>
      <w:r w:rsidR="002514B0">
        <w:rPr>
          <w:rStyle w:val="QuoteChar"/>
        </w:rPr>
        <w:t xml:space="preserve"> </w:t>
      </w:r>
      <w:r w:rsidRPr="00AE3470">
        <w:rPr>
          <w:rStyle w:val="QuoteChar"/>
        </w:rPr>
        <w:t>Owens</w:t>
      </w:r>
      <w:r w:rsidR="002514B0">
        <w:rPr>
          <w:rStyle w:val="QuoteChar"/>
        </w:rPr>
        <w:t xml:space="preserve"> </w:t>
      </w:r>
      <w:r w:rsidRPr="00AE3470">
        <w:rPr>
          <w:rStyle w:val="QuoteChar"/>
        </w:rPr>
        <w:t>+</w:t>
      </w:r>
      <w:r w:rsidR="002514B0">
        <w:rPr>
          <w:rStyle w:val="QuoteChar"/>
        </w:rPr>
        <w:t xml:space="preserve"> </w:t>
      </w:r>
      <w:r w:rsidRPr="00AE3470">
        <w:rPr>
          <w:rStyle w:val="QuoteChar"/>
        </w:rPr>
        <w:t>Exhibits,</w:t>
      </w:r>
      <w:r w:rsidR="002514B0">
        <w:rPr>
          <w:rStyle w:val="QuoteChar"/>
        </w:rPr>
        <w:t xml:space="preserve"> </w:t>
      </w:r>
      <w:r w:rsidRPr="00AE3470">
        <w:rPr>
          <w:rStyle w:val="QuoteChar"/>
        </w:rPr>
        <w:t>CNO</w:t>
      </w:r>
      <w:r w:rsidR="002514B0">
        <w:rPr>
          <w:rStyle w:val="QuoteChar"/>
        </w:rPr>
        <w:t xml:space="preserve"> </w:t>
      </w:r>
      <w:r w:rsidRPr="00AE3470">
        <w:rPr>
          <w:rStyle w:val="QuoteChar"/>
        </w:rPr>
        <w:t>Docket</w:t>
      </w:r>
      <w:r w:rsidR="002514B0">
        <w:rPr>
          <w:rStyle w:val="QuoteChar"/>
        </w:rPr>
        <w:t xml:space="preserve"> </w:t>
      </w:r>
      <w:r w:rsidRPr="00AE3470">
        <w:rPr>
          <w:rStyle w:val="QuoteChar"/>
        </w:rPr>
        <w:t>No</w:t>
      </w:r>
      <w:r w:rsidR="002514B0">
        <w:rPr>
          <w:rStyle w:val="QuoteChar"/>
        </w:rPr>
        <w:t xml:space="preserve"> </w:t>
      </w:r>
      <w:r w:rsidRPr="00AE3470">
        <w:rPr>
          <w:rStyle w:val="QuoteChar"/>
        </w:rPr>
        <w:t>UD-18-07,</w:t>
      </w:r>
      <w:r w:rsidR="002514B0">
        <w:rPr>
          <w:rStyle w:val="QuoteChar"/>
        </w:rPr>
        <w:t xml:space="preserve"> </w:t>
      </w:r>
      <w:r w:rsidRPr="00AE3470">
        <w:rPr>
          <w:rStyle w:val="QuoteChar"/>
        </w:rPr>
        <w:t>March</w:t>
      </w:r>
      <w:r w:rsidR="002514B0">
        <w:rPr>
          <w:rStyle w:val="QuoteChar"/>
        </w:rPr>
        <w:t xml:space="preserve"> </w:t>
      </w:r>
      <w:r w:rsidRPr="00AE3470">
        <w:rPr>
          <w:rStyle w:val="QuoteChar"/>
        </w:rPr>
        <w:t>22,</w:t>
      </w:r>
      <w:r w:rsidR="002514B0">
        <w:rPr>
          <w:rStyle w:val="QuoteChar"/>
        </w:rPr>
        <w:t xml:space="preserve"> </w:t>
      </w:r>
      <w:r w:rsidRPr="00AE3470">
        <w:rPr>
          <w:rStyle w:val="QuoteChar"/>
        </w:rPr>
        <w:t>2019,</w:t>
      </w:r>
      <w:r w:rsidR="002514B0">
        <w:rPr>
          <w:rStyle w:val="QuoteChar"/>
        </w:rPr>
        <w:t xml:space="preserve"> </w:t>
      </w:r>
      <w:r w:rsidRPr="00AE3470">
        <w:rPr>
          <w:rStyle w:val="QuoteChar"/>
        </w:rPr>
        <w:t>page</w:t>
      </w:r>
      <w:r w:rsidR="002514B0">
        <w:rPr>
          <w:rStyle w:val="QuoteChar"/>
        </w:rPr>
        <w:t xml:space="preserve"> </w:t>
      </w:r>
      <w:r w:rsidRPr="00AE3470">
        <w:rPr>
          <w:rStyle w:val="QuoteChar"/>
        </w:rPr>
        <w:t>50.</w:t>
      </w:r>
    </w:p>
    <w:p w14:paraId="68E357D1" w14:textId="77777777" w:rsidR="00511610" w:rsidRPr="003C7F6D" w:rsidRDefault="00511610" w:rsidP="003C6728">
      <w:pPr>
        <w:rPr>
          <w:sz w:val="24"/>
          <w:szCs w:val="24"/>
        </w:rPr>
      </w:pPr>
    </w:p>
    <w:p w14:paraId="74ACD24D" w14:textId="38C08743" w:rsidR="00511610" w:rsidRPr="003C7F6D" w:rsidRDefault="00511610" w:rsidP="003C6728">
      <w:pPr>
        <w:rPr>
          <w:b/>
          <w:sz w:val="24"/>
          <w:szCs w:val="24"/>
        </w:rPr>
      </w:pPr>
      <w:r w:rsidRPr="003C7F6D">
        <w:rPr>
          <w:b/>
          <w:sz w:val="24"/>
          <w:szCs w:val="24"/>
        </w:rPr>
        <w:t>Q2.</w:t>
      </w:r>
      <w:r w:rsidR="002514B0">
        <w:rPr>
          <w:b/>
          <w:sz w:val="24"/>
          <w:szCs w:val="24"/>
        </w:rPr>
        <w:t xml:space="preserve"> </w:t>
      </w:r>
      <w:r w:rsidRPr="003C7F6D">
        <w:rPr>
          <w:b/>
          <w:sz w:val="24"/>
          <w:szCs w:val="24"/>
        </w:rPr>
        <w:t>Have</w:t>
      </w:r>
      <w:r w:rsidR="002514B0">
        <w:rPr>
          <w:b/>
          <w:sz w:val="24"/>
          <w:szCs w:val="24"/>
        </w:rPr>
        <w:t xml:space="preserve"> </w:t>
      </w:r>
      <w:r w:rsidRPr="003C7F6D">
        <w:rPr>
          <w:b/>
          <w:sz w:val="24"/>
          <w:szCs w:val="24"/>
        </w:rPr>
        <w:t>you</w:t>
      </w:r>
      <w:r w:rsidR="002514B0">
        <w:rPr>
          <w:b/>
          <w:sz w:val="24"/>
          <w:szCs w:val="24"/>
        </w:rPr>
        <w:t xml:space="preserve"> </w:t>
      </w:r>
      <w:r w:rsidRPr="003C7F6D">
        <w:rPr>
          <w:b/>
          <w:sz w:val="24"/>
          <w:szCs w:val="24"/>
        </w:rPr>
        <w:t>identified</w:t>
      </w:r>
      <w:r w:rsidR="002514B0">
        <w:rPr>
          <w:b/>
          <w:sz w:val="24"/>
          <w:szCs w:val="24"/>
        </w:rPr>
        <w:t xml:space="preserve"> </w:t>
      </w:r>
      <w:r w:rsidRPr="003C7F6D">
        <w:rPr>
          <w:b/>
          <w:sz w:val="24"/>
          <w:szCs w:val="24"/>
        </w:rPr>
        <w:t>any</w:t>
      </w:r>
      <w:r w:rsidR="002514B0">
        <w:rPr>
          <w:b/>
          <w:sz w:val="24"/>
          <w:szCs w:val="24"/>
        </w:rPr>
        <w:t xml:space="preserve"> </w:t>
      </w:r>
      <w:r w:rsidRPr="003C7F6D">
        <w:rPr>
          <w:b/>
          <w:sz w:val="24"/>
          <w:szCs w:val="24"/>
        </w:rPr>
        <w:t>problems</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Mr.</w:t>
      </w:r>
      <w:r w:rsidR="002514B0">
        <w:rPr>
          <w:b/>
          <w:sz w:val="24"/>
          <w:szCs w:val="24"/>
        </w:rPr>
        <w:t xml:space="preserve"> </w:t>
      </w:r>
      <w:r w:rsidRPr="003C7F6D">
        <w:rPr>
          <w:b/>
          <w:sz w:val="24"/>
          <w:szCs w:val="24"/>
        </w:rPr>
        <w:t>Owen’s</w:t>
      </w:r>
      <w:r w:rsidR="002514B0">
        <w:rPr>
          <w:b/>
          <w:sz w:val="24"/>
          <w:szCs w:val="24"/>
        </w:rPr>
        <w:t xml:space="preserve"> </w:t>
      </w:r>
      <w:r w:rsidRPr="003C7F6D">
        <w:rPr>
          <w:b/>
          <w:sz w:val="24"/>
          <w:szCs w:val="24"/>
        </w:rPr>
        <w:t>testimony</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regard</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CLEP?</w:t>
      </w:r>
      <w:r w:rsidR="002514B0">
        <w:rPr>
          <w:b/>
          <w:sz w:val="24"/>
          <w:szCs w:val="24"/>
        </w:rPr>
        <w:t xml:space="preserve"> </w:t>
      </w:r>
    </w:p>
    <w:p w14:paraId="250CCAF6" w14:textId="7FC032C8"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BSI</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identified</w:t>
      </w:r>
      <w:r w:rsidR="002514B0">
        <w:rPr>
          <w:sz w:val="24"/>
          <w:szCs w:val="24"/>
        </w:rPr>
        <w:t xml:space="preserve"> </w:t>
      </w:r>
      <w:r w:rsidRPr="003C7F6D">
        <w:rPr>
          <w:sz w:val="24"/>
          <w:szCs w:val="24"/>
        </w:rPr>
        <w:t>errors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all</w:t>
      </w:r>
      <w:r w:rsidR="002514B0">
        <w:rPr>
          <w:sz w:val="24"/>
          <w:szCs w:val="24"/>
        </w:rPr>
        <w:t xml:space="preserve"> </w:t>
      </w:r>
      <w:r w:rsidRPr="003C7F6D">
        <w:rPr>
          <w:sz w:val="24"/>
          <w:szCs w:val="24"/>
        </w:rPr>
        <w:t>objections</w:t>
      </w:r>
      <w:r w:rsidR="002514B0">
        <w:rPr>
          <w:sz w:val="24"/>
          <w:szCs w:val="24"/>
        </w:rPr>
        <w:t xml:space="preserve"> </w:t>
      </w:r>
      <w:r w:rsidRPr="003C7F6D">
        <w:rPr>
          <w:sz w:val="24"/>
          <w:szCs w:val="24"/>
        </w:rPr>
        <w:t>indirectly</w:t>
      </w:r>
      <w:r w:rsidR="002514B0">
        <w:rPr>
          <w:sz w:val="24"/>
          <w:szCs w:val="24"/>
        </w:rPr>
        <w:t xml:space="preserve"> </w:t>
      </w:r>
      <w:r w:rsidRPr="003C7F6D">
        <w:rPr>
          <w:sz w:val="24"/>
          <w:szCs w:val="24"/>
        </w:rPr>
        <w:t>asserted</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b/>
          <w:sz w:val="24"/>
          <w:szCs w:val="24"/>
        </w:rPr>
        <w:t xml:space="preserve"> </w:t>
      </w:r>
      <w:r w:rsidRPr="003C7F6D">
        <w:rPr>
          <w:sz w:val="24"/>
          <w:szCs w:val="24"/>
        </w:rPr>
        <w:t>about</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proposal</w:t>
      </w:r>
      <w:r w:rsidR="002514B0">
        <w:rPr>
          <w:sz w:val="24"/>
          <w:szCs w:val="24"/>
        </w:rPr>
        <w:t xml:space="preserve"> </w:t>
      </w:r>
      <w:r w:rsidRPr="003C7F6D">
        <w:rPr>
          <w:sz w:val="24"/>
          <w:szCs w:val="24"/>
        </w:rPr>
        <w:t>set</w:t>
      </w:r>
      <w:r w:rsidR="002514B0">
        <w:rPr>
          <w:sz w:val="24"/>
          <w:szCs w:val="24"/>
        </w:rPr>
        <w:t xml:space="preserve"> </w:t>
      </w:r>
      <w:r w:rsidRPr="003C7F6D">
        <w:rPr>
          <w:sz w:val="24"/>
          <w:szCs w:val="24"/>
        </w:rPr>
        <w:t>forth</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BSI’s</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docket.</w:t>
      </w:r>
      <w:r w:rsidR="002514B0">
        <w:rPr>
          <w:sz w:val="24"/>
          <w:szCs w:val="24"/>
        </w:rPr>
        <w:t xml:space="preserve"> </w:t>
      </w:r>
      <w:r w:rsidRPr="003C7F6D">
        <w:rPr>
          <w:sz w:val="24"/>
          <w:szCs w:val="24"/>
        </w:rPr>
        <w:t>Because</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b/>
          <w:sz w:val="24"/>
          <w:szCs w:val="24"/>
        </w:rPr>
        <w:t xml:space="preserve"> </w:t>
      </w:r>
      <w:r w:rsidRPr="003C7F6D">
        <w:rPr>
          <w:sz w:val="24"/>
          <w:szCs w:val="24"/>
        </w:rPr>
        <w:t>claims</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all</w:t>
      </w:r>
      <w:r w:rsidR="002514B0">
        <w:rPr>
          <w:sz w:val="24"/>
          <w:szCs w:val="24"/>
        </w:rPr>
        <w:t xml:space="preserve"> </w:t>
      </w:r>
      <w:r w:rsidRPr="003C7F6D">
        <w:rPr>
          <w:sz w:val="24"/>
          <w:szCs w:val="24"/>
        </w:rPr>
        <w:t>those</w:t>
      </w:r>
      <w:r w:rsidR="002514B0">
        <w:rPr>
          <w:sz w:val="24"/>
          <w:szCs w:val="24"/>
        </w:rPr>
        <w:t xml:space="preserve"> </w:t>
      </w:r>
      <w:r w:rsidRPr="003C7F6D">
        <w:rPr>
          <w:sz w:val="24"/>
          <w:szCs w:val="24"/>
        </w:rPr>
        <w:t>concerns</w:t>
      </w:r>
      <w:r w:rsidR="002514B0">
        <w:rPr>
          <w:sz w:val="24"/>
          <w:szCs w:val="24"/>
        </w:rPr>
        <w:t xml:space="preserve"> </w:t>
      </w:r>
      <w:r w:rsidRPr="003C7F6D">
        <w:rPr>
          <w:sz w:val="24"/>
          <w:szCs w:val="24"/>
        </w:rPr>
        <w:t>described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2017</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continue</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short-comings</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current</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they</w:t>
      </w:r>
      <w:r w:rsidR="002514B0">
        <w:rPr>
          <w:sz w:val="24"/>
          <w:szCs w:val="24"/>
        </w:rPr>
        <w:t xml:space="preserve"> </w:t>
      </w:r>
      <w:r w:rsidRPr="003C7F6D">
        <w:rPr>
          <w:sz w:val="24"/>
          <w:szCs w:val="24"/>
        </w:rPr>
        <w:t>are</w:t>
      </w:r>
      <w:r w:rsidR="002514B0">
        <w:rPr>
          <w:sz w:val="24"/>
          <w:szCs w:val="24"/>
        </w:rPr>
        <w:t xml:space="preserve"> </w:t>
      </w:r>
      <w:r w:rsidRPr="003C7F6D">
        <w:rPr>
          <w:sz w:val="24"/>
          <w:szCs w:val="24"/>
        </w:rPr>
        <w:t>cited</w:t>
      </w:r>
      <w:r w:rsidR="002514B0">
        <w:rPr>
          <w:sz w:val="24"/>
          <w:szCs w:val="24"/>
        </w:rPr>
        <w:t xml:space="preserve"> </w:t>
      </w:r>
      <w:r w:rsidRPr="003C7F6D">
        <w:rPr>
          <w:sz w:val="24"/>
          <w:szCs w:val="24"/>
        </w:rPr>
        <w:t>within</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R-17-100</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number:</w:t>
      </w:r>
      <w:r w:rsidR="002514B0">
        <w:rPr>
          <w:sz w:val="24"/>
          <w:szCs w:val="24"/>
        </w:rPr>
        <w:t xml:space="preserve"> </w:t>
      </w:r>
    </w:p>
    <w:p w14:paraId="76D303EC" w14:textId="19A8CDD1" w:rsidR="00511610" w:rsidRPr="00996655" w:rsidRDefault="00511610" w:rsidP="00996655">
      <w:pPr>
        <w:pStyle w:val="ListParagraph"/>
        <w:numPr>
          <w:ilvl w:val="0"/>
          <w:numId w:val="30"/>
        </w:numPr>
        <w:rPr>
          <w:sz w:val="24"/>
          <w:szCs w:val="24"/>
        </w:rPr>
      </w:pPr>
      <w:r w:rsidRPr="00996655">
        <w:rPr>
          <w:sz w:val="24"/>
          <w:szCs w:val="24"/>
        </w:rPr>
        <w:t>“BSI</w:t>
      </w:r>
      <w:r w:rsidR="002514B0">
        <w:rPr>
          <w:sz w:val="24"/>
          <w:szCs w:val="24"/>
        </w:rPr>
        <w:t xml:space="preserve"> </w:t>
      </w:r>
      <w:r w:rsidRPr="00996655">
        <w:rPr>
          <w:sz w:val="24"/>
          <w:szCs w:val="24"/>
        </w:rPr>
        <w:t>does</w:t>
      </w:r>
      <w:r w:rsidR="002514B0">
        <w:rPr>
          <w:sz w:val="24"/>
          <w:szCs w:val="24"/>
        </w:rPr>
        <w:t xml:space="preserve"> </w:t>
      </w:r>
      <w:r w:rsidRPr="00996655">
        <w:rPr>
          <w:sz w:val="24"/>
          <w:szCs w:val="24"/>
        </w:rPr>
        <w:t>not</w:t>
      </w:r>
      <w:r w:rsidR="002514B0">
        <w:rPr>
          <w:sz w:val="24"/>
          <w:szCs w:val="24"/>
        </w:rPr>
        <w:t xml:space="preserve"> </w:t>
      </w:r>
      <w:r w:rsidRPr="00996655">
        <w:rPr>
          <w:sz w:val="24"/>
          <w:szCs w:val="24"/>
        </w:rPr>
        <w:t>explain</w:t>
      </w:r>
      <w:r w:rsidR="002514B0">
        <w:rPr>
          <w:sz w:val="24"/>
          <w:szCs w:val="24"/>
        </w:rPr>
        <w:t xml:space="preserve"> </w:t>
      </w:r>
      <w:r w:rsidRPr="00996655">
        <w:rPr>
          <w:sz w:val="24"/>
          <w:szCs w:val="24"/>
        </w:rPr>
        <w:t>where</w:t>
      </w:r>
      <w:r w:rsidR="002514B0">
        <w:rPr>
          <w:sz w:val="24"/>
          <w:szCs w:val="24"/>
        </w:rPr>
        <w:t xml:space="preserve"> </w:t>
      </w:r>
      <w:r w:rsidRPr="00996655">
        <w:rPr>
          <w:sz w:val="24"/>
          <w:szCs w:val="24"/>
        </w:rPr>
        <w:t>this</w:t>
      </w:r>
      <w:r w:rsidR="002514B0">
        <w:rPr>
          <w:sz w:val="24"/>
          <w:szCs w:val="24"/>
        </w:rPr>
        <w:t xml:space="preserve"> </w:t>
      </w:r>
      <w:r w:rsidRPr="00996655">
        <w:rPr>
          <w:sz w:val="24"/>
          <w:szCs w:val="24"/>
        </w:rPr>
        <w:t>income</w:t>
      </w:r>
      <w:r w:rsidR="002514B0">
        <w:rPr>
          <w:sz w:val="24"/>
          <w:szCs w:val="24"/>
        </w:rPr>
        <w:t xml:space="preserve"> </w:t>
      </w:r>
      <w:r w:rsidRPr="00996655">
        <w:rPr>
          <w:sz w:val="24"/>
          <w:szCs w:val="24"/>
        </w:rPr>
        <w:t>will</w:t>
      </w:r>
      <w:r w:rsidR="002514B0">
        <w:rPr>
          <w:sz w:val="24"/>
          <w:szCs w:val="24"/>
        </w:rPr>
        <w:t xml:space="preserve"> </w:t>
      </w:r>
      <w:r w:rsidRPr="00996655">
        <w:rPr>
          <w:sz w:val="24"/>
          <w:szCs w:val="24"/>
        </w:rPr>
        <w:t>come</w:t>
      </w:r>
      <w:r w:rsidR="002514B0">
        <w:rPr>
          <w:sz w:val="24"/>
          <w:szCs w:val="24"/>
        </w:rPr>
        <w:t xml:space="preserve"> </w:t>
      </w:r>
      <w:r w:rsidRPr="00996655">
        <w:rPr>
          <w:sz w:val="24"/>
          <w:szCs w:val="24"/>
        </w:rPr>
        <w:t>from</w:t>
      </w:r>
      <w:r w:rsidR="002514B0">
        <w:rPr>
          <w:sz w:val="24"/>
          <w:szCs w:val="24"/>
        </w:rPr>
        <w:t xml:space="preserve"> </w:t>
      </w:r>
      <w:r w:rsidRPr="00996655">
        <w:rPr>
          <w:sz w:val="24"/>
          <w:szCs w:val="24"/>
        </w:rPr>
        <w:t>and</w:t>
      </w:r>
      <w:r w:rsidR="002514B0">
        <w:rPr>
          <w:sz w:val="24"/>
          <w:szCs w:val="24"/>
        </w:rPr>
        <w:t xml:space="preserve"> </w:t>
      </w:r>
      <w:r w:rsidRPr="00996655">
        <w:rPr>
          <w:sz w:val="24"/>
          <w:szCs w:val="24"/>
        </w:rPr>
        <w:t>whether</w:t>
      </w:r>
      <w:r w:rsidR="002514B0">
        <w:rPr>
          <w:sz w:val="24"/>
          <w:szCs w:val="24"/>
        </w:rPr>
        <w:t xml:space="preserve"> </w:t>
      </w:r>
      <w:r w:rsidRPr="00996655">
        <w:rPr>
          <w:sz w:val="24"/>
          <w:szCs w:val="24"/>
        </w:rPr>
        <w:t>paying</w:t>
      </w:r>
      <w:r w:rsidR="002514B0">
        <w:rPr>
          <w:sz w:val="24"/>
          <w:szCs w:val="24"/>
        </w:rPr>
        <w:t xml:space="preserve"> </w:t>
      </w:r>
      <w:r w:rsidRPr="00996655">
        <w:rPr>
          <w:sz w:val="24"/>
          <w:szCs w:val="24"/>
        </w:rPr>
        <w:t>CLEP</w:t>
      </w:r>
      <w:r w:rsidR="002514B0">
        <w:rPr>
          <w:sz w:val="24"/>
          <w:szCs w:val="24"/>
        </w:rPr>
        <w:t xml:space="preserve"> </w:t>
      </w:r>
      <w:r w:rsidRPr="00996655">
        <w:rPr>
          <w:sz w:val="24"/>
          <w:szCs w:val="24"/>
        </w:rPr>
        <w:t>customers</w:t>
      </w:r>
      <w:r w:rsidR="002514B0">
        <w:rPr>
          <w:sz w:val="24"/>
          <w:szCs w:val="24"/>
        </w:rPr>
        <w:t xml:space="preserve"> </w:t>
      </w:r>
      <w:r w:rsidRPr="00996655">
        <w:rPr>
          <w:sz w:val="24"/>
          <w:szCs w:val="24"/>
        </w:rPr>
        <w:t>causes</w:t>
      </w:r>
      <w:r w:rsidR="002514B0">
        <w:rPr>
          <w:sz w:val="24"/>
          <w:szCs w:val="24"/>
        </w:rPr>
        <w:t xml:space="preserve"> </w:t>
      </w:r>
      <w:r w:rsidRPr="00996655">
        <w:rPr>
          <w:sz w:val="24"/>
          <w:szCs w:val="24"/>
        </w:rPr>
        <w:t>rate</w:t>
      </w:r>
      <w:r w:rsidR="002514B0">
        <w:rPr>
          <w:sz w:val="24"/>
          <w:szCs w:val="24"/>
        </w:rPr>
        <w:t xml:space="preserve"> </w:t>
      </w:r>
      <w:r w:rsidRPr="00996655">
        <w:rPr>
          <w:sz w:val="24"/>
          <w:szCs w:val="24"/>
        </w:rPr>
        <w:t>increases</w:t>
      </w:r>
      <w:r w:rsidR="002514B0">
        <w:rPr>
          <w:sz w:val="24"/>
          <w:szCs w:val="24"/>
        </w:rPr>
        <w:t xml:space="preserve"> </w:t>
      </w:r>
      <w:r w:rsidRPr="00996655">
        <w:rPr>
          <w:sz w:val="24"/>
          <w:szCs w:val="24"/>
        </w:rPr>
        <w:t>for</w:t>
      </w:r>
      <w:r w:rsidR="002514B0">
        <w:rPr>
          <w:sz w:val="24"/>
          <w:szCs w:val="24"/>
        </w:rPr>
        <w:t xml:space="preserve"> </w:t>
      </w:r>
      <w:r w:rsidRPr="00996655">
        <w:rPr>
          <w:sz w:val="24"/>
          <w:szCs w:val="24"/>
        </w:rPr>
        <w:t>non-CLEP</w:t>
      </w:r>
      <w:r w:rsidR="002514B0">
        <w:rPr>
          <w:sz w:val="24"/>
          <w:szCs w:val="24"/>
        </w:rPr>
        <w:t xml:space="preserve"> </w:t>
      </w:r>
      <w:r w:rsidRPr="00996655">
        <w:rPr>
          <w:sz w:val="24"/>
          <w:szCs w:val="24"/>
        </w:rPr>
        <w:t>customers”</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86;</w:t>
      </w:r>
    </w:p>
    <w:p w14:paraId="184A7CA8" w14:textId="6C69A153" w:rsidR="00511610" w:rsidRPr="00996655" w:rsidRDefault="00511610" w:rsidP="00996655">
      <w:pPr>
        <w:pStyle w:val="ListParagraph"/>
        <w:numPr>
          <w:ilvl w:val="0"/>
          <w:numId w:val="30"/>
        </w:numPr>
        <w:rPr>
          <w:sz w:val="24"/>
          <w:szCs w:val="24"/>
        </w:rPr>
      </w:pPr>
      <w:r w:rsidRPr="00996655">
        <w:rPr>
          <w:sz w:val="24"/>
          <w:szCs w:val="24"/>
        </w:rPr>
        <w:t>CLEP’s</w:t>
      </w:r>
      <w:r w:rsidR="002514B0">
        <w:rPr>
          <w:sz w:val="24"/>
          <w:szCs w:val="24"/>
        </w:rPr>
        <w:t xml:space="preserve"> </w:t>
      </w:r>
      <w:r w:rsidRPr="00996655">
        <w:rPr>
          <w:sz w:val="24"/>
          <w:szCs w:val="24"/>
        </w:rPr>
        <w:t>description</w:t>
      </w:r>
      <w:r w:rsidR="002514B0">
        <w:rPr>
          <w:sz w:val="24"/>
          <w:szCs w:val="24"/>
        </w:rPr>
        <w:t xml:space="preserve"> </w:t>
      </w:r>
      <w:r w:rsidRPr="00996655">
        <w:rPr>
          <w:sz w:val="24"/>
          <w:szCs w:val="24"/>
        </w:rPr>
        <w:t>in</w:t>
      </w:r>
      <w:r w:rsidR="002514B0">
        <w:rPr>
          <w:sz w:val="24"/>
          <w:szCs w:val="24"/>
        </w:rPr>
        <w:t xml:space="preserve"> </w:t>
      </w:r>
      <w:r w:rsidRPr="00996655">
        <w:rPr>
          <w:sz w:val="24"/>
          <w:szCs w:val="24"/>
        </w:rPr>
        <w:t>2016</w:t>
      </w:r>
      <w:r w:rsidR="002514B0">
        <w:rPr>
          <w:sz w:val="24"/>
          <w:szCs w:val="24"/>
        </w:rPr>
        <w:t xml:space="preserve"> </w:t>
      </w:r>
      <w:r w:rsidRPr="00996655">
        <w:rPr>
          <w:sz w:val="24"/>
          <w:szCs w:val="24"/>
        </w:rPr>
        <w:t>was</w:t>
      </w:r>
      <w:r w:rsidR="002514B0">
        <w:rPr>
          <w:sz w:val="24"/>
          <w:szCs w:val="24"/>
        </w:rPr>
        <w:t xml:space="preserve"> </w:t>
      </w:r>
      <w:r w:rsidRPr="00996655">
        <w:rPr>
          <w:sz w:val="24"/>
          <w:szCs w:val="24"/>
        </w:rPr>
        <w:t>incoherent.</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88;</w:t>
      </w:r>
    </w:p>
    <w:p w14:paraId="7C9CFFAF" w14:textId="31BE2ED0" w:rsidR="00511610" w:rsidRPr="00996655" w:rsidRDefault="00511610" w:rsidP="00996655">
      <w:pPr>
        <w:pStyle w:val="ListParagraph"/>
        <w:numPr>
          <w:ilvl w:val="0"/>
          <w:numId w:val="30"/>
        </w:numPr>
        <w:rPr>
          <w:sz w:val="24"/>
          <w:szCs w:val="24"/>
        </w:rPr>
      </w:pPr>
      <w:r w:rsidRPr="00996655">
        <w:rPr>
          <w:sz w:val="24"/>
          <w:szCs w:val="24"/>
        </w:rPr>
        <w:t>ENO</w:t>
      </w:r>
      <w:r w:rsidR="002514B0">
        <w:rPr>
          <w:sz w:val="24"/>
          <w:szCs w:val="24"/>
        </w:rPr>
        <w:t xml:space="preserve"> </w:t>
      </w:r>
      <w:r w:rsidRPr="00996655">
        <w:rPr>
          <w:sz w:val="24"/>
          <w:szCs w:val="24"/>
        </w:rPr>
        <w:t>claimed</w:t>
      </w:r>
      <w:r w:rsidR="002514B0">
        <w:rPr>
          <w:sz w:val="24"/>
          <w:szCs w:val="24"/>
        </w:rPr>
        <w:t xml:space="preserve"> </w:t>
      </w:r>
      <w:r w:rsidRPr="00996655">
        <w:rPr>
          <w:sz w:val="24"/>
          <w:szCs w:val="24"/>
        </w:rPr>
        <w:t>that</w:t>
      </w:r>
      <w:r w:rsidR="002514B0">
        <w:rPr>
          <w:sz w:val="24"/>
          <w:szCs w:val="24"/>
        </w:rPr>
        <w:t xml:space="preserve"> </w:t>
      </w:r>
      <w:r w:rsidRPr="00996655">
        <w:rPr>
          <w:sz w:val="24"/>
          <w:szCs w:val="24"/>
        </w:rPr>
        <w:t>CLEP’s</w:t>
      </w:r>
      <w:r w:rsidR="002514B0">
        <w:rPr>
          <w:sz w:val="24"/>
          <w:szCs w:val="24"/>
        </w:rPr>
        <w:t xml:space="preserve"> </w:t>
      </w:r>
      <w:r w:rsidRPr="00996655">
        <w:rPr>
          <w:sz w:val="24"/>
          <w:szCs w:val="24"/>
        </w:rPr>
        <w:t>description</w:t>
      </w:r>
      <w:r w:rsidR="002514B0">
        <w:rPr>
          <w:sz w:val="24"/>
          <w:szCs w:val="24"/>
        </w:rPr>
        <w:t xml:space="preserve"> </w:t>
      </w:r>
      <w:r w:rsidRPr="00996655">
        <w:rPr>
          <w:sz w:val="24"/>
          <w:szCs w:val="24"/>
        </w:rPr>
        <w:t>in</w:t>
      </w:r>
      <w:r w:rsidR="002514B0">
        <w:rPr>
          <w:sz w:val="24"/>
          <w:szCs w:val="24"/>
        </w:rPr>
        <w:t xml:space="preserve"> </w:t>
      </w:r>
      <w:r w:rsidRPr="00996655">
        <w:rPr>
          <w:sz w:val="24"/>
          <w:szCs w:val="24"/>
        </w:rPr>
        <w:t>2016</w:t>
      </w:r>
      <w:r w:rsidR="002514B0">
        <w:rPr>
          <w:sz w:val="24"/>
          <w:szCs w:val="24"/>
        </w:rPr>
        <w:t xml:space="preserve"> </w:t>
      </w:r>
      <w:r w:rsidRPr="00996655">
        <w:rPr>
          <w:sz w:val="24"/>
          <w:szCs w:val="24"/>
        </w:rPr>
        <w:t>was</w:t>
      </w:r>
      <w:r w:rsidR="002514B0">
        <w:rPr>
          <w:sz w:val="24"/>
          <w:szCs w:val="24"/>
        </w:rPr>
        <w:t xml:space="preserve"> </w:t>
      </w:r>
      <w:r w:rsidRPr="00996655">
        <w:rPr>
          <w:sz w:val="24"/>
          <w:szCs w:val="24"/>
        </w:rPr>
        <w:t>“based</w:t>
      </w:r>
      <w:r w:rsidR="002514B0">
        <w:rPr>
          <w:sz w:val="24"/>
          <w:szCs w:val="24"/>
        </w:rPr>
        <w:t xml:space="preserve"> </w:t>
      </w:r>
      <w:r w:rsidRPr="00996655">
        <w:rPr>
          <w:sz w:val="24"/>
          <w:szCs w:val="24"/>
        </w:rPr>
        <w:t>upon</w:t>
      </w:r>
      <w:r w:rsidR="002514B0">
        <w:rPr>
          <w:sz w:val="24"/>
          <w:szCs w:val="24"/>
        </w:rPr>
        <w:t xml:space="preserve"> </w:t>
      </w:r>
      <w:r w:rsidRPr="00996655">
        <w:rPr>
          <w:sz w:val="24"/>
          <w:szCs w:val="24"/>
        </w:rPr>
        <w:t>numerous</w:t>
      </w:r>
      <w:r w:rsidR="002514B0">
        <w:rPr>
          <w:sz w:val="24"/>
          <w:szCs w:val="24"/>
        </w:rPr>
        <w:t xml:space="preserve"> </w:t>
      </w:r>
      <w:r w:rsidRPr="00996655">
        <w:rPr>
          <w:sz w:val="24"/>
          <w:szCs w:val="24"/>
        </w:rPr>
        <w:t>flawed</w:t>
      </w:r>
      <w:r w:rsidR="002514B0">
        <w:rPr>
          <w:sz w:val="24"/>
          <w:szCs w:val="24"/>
        </w:rPr>
        <w:t xml:space="preserve"> </w:t>
      </w:r>
      <w:r w:rsidRPr="00996655">
        <w:rPr>
          <w:sz w:val="24"/>
          <w:szCs w:val="24"/>
        </w:rPr>
        <w:t>concepts</w:t>
      </w:r>
      <w:r w:rsidR="002514B0">
        <w:rPr>
          <w:sz w:val="24"/>
          <w:szCs w:val="24"/>
        </w:rPr>
        <w:t xml:space="preserve"> </w:t>
      </w:r>
      <w:r w:rsidRPr="00996655">
        <w:rPr>
          <w:sz w:val="24"/>
          <w:szCs w:val="24"/>
        </w:rPr>
        <w:t>and</w:t>
      </w:r>
      <w:r w:rsidR="002514B0">
        <w:rPr>
          <w:sz w:val="24"/>
          <w:szCs w:val="24"/>
        </w:rPr>
        <w:t xml:space="preserve"> </w:t>
      </w:r>
      <w:r w:rsidRPr="00996655">
        <w:rPr>
          <w:sz w:val="24"/>
          <w:szCs w:val="24"/>
        </w:rPr>
        <w:t>unrealistic</w:t>
      </w:r>
      <w:r w:rsidR="002514B0">
        <w:rPr>
          <w:sz w:val="24"/>
          <w:szCs w:val="24"/>
        </w:rPr>
        <w:t xml:space="preserve"> </w:t>
      </w:r>
      <w:r w:rsidRPr="00996655">
        <w:rPr>
          <w:sz w:val="24"/>
          <w:szCs w:val="24"/>
        </w:rPr>
        <w:t>assumptions.”</w:t>
      </w:r>
      <w:r w:rsidR="002514B0">
        <w:rPr>
          <w:sz w:val="24"/>
          <w:szCs w:val="24"/>
        </w:rPr>
        <w:t xml:space="preserve"> </w:t>
      </w:r>
      <w:r w:rsidRPr="00996655">
        <w:rPr>
          <w:sz w:val="24"/>
          <w:szCs w:val="24"/>
        </w:rPr>
        <w:t>and</w:t>
      </w:r>
      <w:r w:rsidR="002514B0">
        <w:rPr>
          <w:sz w:val="24"/>
          <w:szCs w:val="24"/>
        </w:rPr>
        <w:t xml:space="preserve"> </w:t>
      </w:r>
      <w:r w:rsidRPr="00996655">
        <w:rPr>
          <w:sz w:val="24"/>
          <w:szCs w:val="24"/>
        </w:rPr>
        <w:t>“BSI</w:t>
      </w:r>
      <w:r w:rsidR="002514B0">
        <w:rPr>
          <w:sz w:val="24"/>
          <w:szCs w:val="24"/>
        </w:rPr>
        <w:t xml:space="preserve"> </w:t>
      </w:r>
      <w:r w:rsidRPr="00996655">
        <w:rPr>
          <w:sz w:val="24"/>
          <w:szCs w:val="24"/>
        </w:rPr>
        <w:t>provides</w:t>
      </w:r>
      <w:r w:rsidR="002514B0">
        <w:rPr>
          <w:sz w:val="24"/>
          <w:szCs w:val="24"/>
        </w:rPr>
        <w:t xml:space="preserve"> </w:t>
      </w:r>
      <w:r w:rsidRPr="00996655">
        <w:rPr>
          <w:sz w:val="24"/>
          <w:szCs w:val="24"/>
        </w:rPr>
        <w:t>no</w:t>
      </w:r>
      <w:r w:rsidR="002514B0">
        <w:rPr>
          <w:sz w:val="24"/>
          <w:szCs w:val="24"/>
        </w:rPr>
        <w:t xml:space="preserve"> </w:t>
      </w:r>
      <w:r w:rsidRPr="00996655">
        <w:rPr>
          <w:sz w:val="24"/>
          <w:szCs w:val="24"/>
        </w:rPr>
        <w:t>rational</w:t>
      </w:r>
      <w:r w:rsidR="002514B0">
        <w:rPr>
          <w:sz w:val="24"/>
          <w:szCs w:val="24"/>
        </w:rPr>
        <w:t xml:space="preserve"> </w:t>
      </w:r>
      <w:r w:rsidRPr="00996655">
        <w:rPr>
          <w:sz w:val="24"/>
          <w:szCs w:val="24"/>
        </w:rPr>
        <w:t>basis”</w:t>
      </w:r>
      <w:r w:rsidR="002514B0">
        <w:rPr>
          <w:sz w:val="24"/>
          <w:szCs w:val="24"/>
        </w:rPr>
        <w:t xml:space="preserve"> </w:t>
      </w:r>
      <w:r w:rsidRPr="00996655">
        <w:rPr>
          <w:sz w:val="24"/>
          <w:szCs w:val="24"/>
        </w:rPr>
        <w:t>for</w:t>
      </w:r>
      <w:r w:rsidR="002514B0">
        <w:rPr>
          <w:sz w:val="24"/>
          <w:szCs w:val="24"/>
        </w:rPr>
        <w:t xml:space="preserve"> </w:t>
      </w:r>
      <w:r w:rsidRPr="00996655">
        <w:rPr>
          <w:sz w:val="24"/>
          <w:szCs w:val="24"/>
        </w:rPr>
        <w:t>key</w:t>
      </w:r>
      <w:r w:rsidR="002514B0">
        <w:rPr>
          <w:sz w:val="24"/>
          <w:szCs w:val="24"/>
        </w:rPr>
        <w:t xml:space="preserve"> </w:t>
      </w:r>
      <w:r w:rsidRPr="00996655">
        <w:rPr>
          <w:sz w:val="24"/>
          <w:szCs w:val="24"/>
        </w:rPr>
        <w:t>assumptions</w:t>
      </w:r>
      <w:r w:rsidR="002514B0">
        <w:rPr>
          <w:sz w:val="24"/>
          <w:szCs w:val="24"/>
        </w:rPr>
        <w:t xml:space="preserve"> </w:t>
      </w:r>
      <w:r w:rsidRPr="00996655">
        <w:rPr>
          <w:sz w:val="24"/>
          <w:szCs w:val="24"/>
        </w:rPr>
        <w:t>and</w:t>
      </w:r>
      <w:r w:rsidR="002514B0">
        <w:rPr>
          <w:sz w:val="24"/>
          <w:szCs w:val="24"/>
        </w:rPr>
        <w:t xml:space="preserve"> </w:t>
      </w:r>
      <w:r w:rsidRPr="00996655">
        <w:rPr>
          <w:sz w:val="24"/>
          <w:szCs w:val="24"/>
        </w:rPr>
        <w:t>assertions.</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90;</w:t>
      </w:r>
    </w:p>
    <w:p w14:paraId="2E09E7CB" w14:textId="260F14FA" w:rsidR="00511610" w:rsidRPr="00996655" w:rsidRDefault="00511610" w:rsidP="00996655">
      <w:pPr>
        <w:pStyle w:val="ListParagraph"/>
        <w:numPr>
          <w:ilvl w:val="0"/>
          <w:numId w:val="30"/>
        </w:numPr>
        <w:rPr>
          <w:sz w:val="24"/>
          <w:szCs w:val="24"/>
        </w:rPr>
      </w:pPr>
      <w:r w:rsidRPr="00996655">
        <w:rPr>
          <w:sz w:val="24"/>
          <w:szCs w:val="24"/>
        </w:rPr>
        <w:lastRenderedPageBreak/>
        <w:t>CLEP</w:t>
      </w:r>
      <w:r w:rsidR="002514B0">
        <w:rPr>
          <w:sz w:val="24"/>
          <w:szCs w:val="24"/>
        </w:rPr>
        <w:t xml:space="preserve"> </w:t>
      </w:r>
      <w:r w:rsidRPr="00996655">
        <w:rPr>
          <w:sz w:val="24"/>
          <w:szCs w:val="24"/>
        </w:rPr>
        <w:t>“is</w:t>
      </w:r>
      <w:r w:rsidR="002514B0">
        <w:rPr>
          <w:sz w:val="24"/>
          <w:szCs w:val="24"/>
        </w:rPr>
        <w:t xml:space="preserve"> </w:t>
      </w:r>
      <w:r w:rsidRPr="00996655">
        <w:rPr>
          <w:sz w:val="24"/>
          <w:szCs w:val="24"/>
        </w:rPr>
        <w:t>too</w:t>
      </w:r>
      <w:r w:rsidR="002514B0">
        <w:rPr>
          <w:sz w:val="24"/>
          <w:szCs w:val="24"/>
        </w:rPr>
        <w:t xml:space="preserve"> </w:t>
      </w:r>
      <w:r w:rsidRPr="00996655">
        <w:rPr>
          <w:sz w:val="24"/>
          <w:szCs w:val="24"/>
        </w:rPr>
        <w:t>complicated</w:t>
      </w:r>
      <w:r w:rsidR="002514B0">
        <w:rPr>
          <w:sz w:val="24"/>
          <w:szCs w:val="24"/>
        </w:rPr>
        <w:t xml:space="preserve"> </w:t>
      </w:r>
      <w:r w:rsidRPr="00996655">
        <w:rPr>
          <w:sz w:val="24"/>
          <w:szCs w:val="24"/>
        </w:rPr>
        <w:t>for</w:t>
      </w:r>
      <w:r w:rsidR="002514B0">
        <w:rPr>
          <w:sz w:val="24"/>
          <w:szCs w:val="24"/>
        </w:rPr>
        <w:t xml:space="preserve"> </w:t>
      </w:r>
      <w:r w:rsidRPr="00996655">
        <w:rPr>
          <w:sz w:val="24"/>
          <w:szCs w:val="24"/>
        </w:rPr>
        <w:t>consumers</w:t>
      </w:r>
      <w:r w:rsidR="002514B0">
        <w:rPr>
          <w:sz w:val="24"/>
          <w:szCs w:val="24"/>
        </w:rPr>
        <w:t xml:space="preserve"> </w:t>
      </w:r>
      <w:r w:rsidRPr="00996655">
        <w:rPr>
          <w:sz w:val="24"/>
          <w:szCs w:val="24"/>
        </w:rPr>
        <w:t>to</w:t>
      </w:r>
      <w:r w:rsidR="002514B0">
        <w:rPr>
          <w:sz w:val="24"/>
          <w:szCs w:val="24"/>
        </w:rPr>
        <w:t xml:space="preserve"> </w:t>
      </w:r>
      <w:r w:rsidR="000D3D70" w:rsidRPr="00996655">
        <w:rPr>
          <w:sz w:val="24"/>
          <w:szCs w:val="24"/>
        </w:rPr>
        <w:t>understand</w:t>
      </w:r>
      <w:r w:rsidR="002514B0">
        <w:rPr>
          <w:sz w:val="24"/>
          <w:szCs w:val="24"/>
        </w:rPr>
        <w:t xml:space="preserve"> </w:t>
      </w:r>
      <w:r w:rsidR="000D3D70" w:rsidRPr="00996655">
        <w:rPr>
          <w:sz w:val="24"/>
          <w:szCs w:val="24"/>
        </w:rPr>
        <w:t>[</w:t>
      </w:r>
      <w:r w:rsidRPr="00996655">
        <w:rPr>
          <w:sz w:val="24"/>
          <w:szCs w:val="24"/>
        </w:rPr>
        <w:t>”]</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91;</w:t>
      </w:r>
    </w:p>
    <w:p w14:paraId="4D0E1D1A" w14:textId="51396830" w:rsidR="00511610" w:rsidRPr="00996655" w:rsidRDefault="00511610" w:rsidP="00996655">
      <w:pPr>
        <w:pStyle w:val="ListParagraph"/>
        <w:numPr>
          <w:ilvl w:val="0"/>
          <w:numId w:val="30"/>
        </w:numPr>
        <w:rPr>
          <w:sz w:val="24"/>
          <w:szCs w:val="24"/>
        </w:rPr>
      </w:pPr>
      <w:r w:rsidRPr="00996655">
        <w:rPr>
          <w:sz w:val="24"/>
          <w:szCs w:val="24"/>
        </w:rPr>
        <w:t>“BSI</w:t>
      </w:r>
      <w:r w:rsidR="002514B0">
        <w:rPr>
          <w:sz w:val="24"/>
          <w:szCs w:val="24"/>
        </w:rPr>
        <w:t xml:space="preserve"> </w:t>
      </w:r>
      <w:r w:rsidRPr="00996655">
        <w:rPr>
          <w:sz w:val="24"/>
          <w:szCs w:val="24"/>
        </w:rPr>
        <w:t>makes</w:t>
      </w:r>
      <w:r w:rsidR="002514B0">
        <w:rPr>
          <w:sz w:val="24"/>
          <w:szCs w:val="24"/>
        </w:rPr>
        <w:t xml:space="preserve"> </w:t>
      </w:r>
      <w:r w:rsidRPr="00996655">
        <w:rPr>
          <w:sz w:val="24"/>
          <w:szCs w:val="24"/>
        </w:rPr>
        <w:t>many</w:t>
      </w:r>
      <w:r w:rsidR="002514B0">
        <w:rPr>
          <w:sz w:val="24"/>
          <w:szCs w:val="24"/>
        </w:rPr>
        <w:t xml:space="preserve"> </w:t>
      </w:r>
      <w:r w:rsidRPr="00996655">
        <w:rPr>
          <w:sz w:val="24"/>
          <w:szCs w:val="24"/>
        </w:rPr>
        <w:t>assertions</w:t>
      </w:r>
      <w:r w:rsidR="002514B0">
        <w:rPr>
          <w:sz w:val="24"/>
          <w:szCs w:val="24"/>
        </w:rPr>
        <w:t xml:space="preserve"> </w:t>
      </w:r>
      <w:r w:rsidRPr="00996655">
        <w:rPr>
          <w:sz w:val="24"/>
          <w:szCs w:val="24"/>
        </w:rPr>
        <w:t>as</w:t>
      </w:r>
      <w:r w:rsidR="002514B0">
        <w:rPr>
          <w:sz w:val="24"/>
          <w:szCs w:val="24"/>
        </w:rPr>
        <w:t xml:space="preserve"> </w:t>
      </w:r>
      <w:r w:rsidRPr="00996655">
        <w:rPr>
          <w:sz w:val="24"/>
          <w:szCs w:val="24"/>
        </w:rPr>
        <w:t>to</w:t>
      </w:r>
      <w:r w:rsidR="002514B0">
        <w:rPr>
          <w:sz w:val="24"/>
          <w:szCs w:val="24"/>
        </w:rPr>
        <w:t xml:space="preserve"> </w:t>
      </w:r>
      <w:r w:rsidRPr="00996655">
        <w:rPr>
          <w:sz w:val="24"/>
          <w:szCs w:val="24"/>
        </w:rPr>
        <w:t>the</w:t>
      </w:r>
      <w:r w:rsidR="002514B0">
        <w:rPr>
          <w:sz w:val="24"/>
          <w:szCs w:val="24"/>
        </w:rPr>
        <w:t xml:space="preserve"> </w:t>
      </w:r>
      <w:r w:rsidRPr="00996655">
        <w:rPr>
          <w:sz w:val="24"/>
          <w:szCs w:val="24"/>
        </w:rPr>
        <w:t>costs,</w:t>
      </w:r>
      <w:r w:rsidR="002514B0">
        <w:rPr>
          <w:sz w:val="24"/>
          <w:szCs w:val="24"/>
        </w:rPr>
        <w:t xml:space="preserve"> </w:t>
      </w:r>
      <w:r w:rsidRPr="00996655">
        <w:rPr>
          <w:sz w:val="24"/>
          <w:szCs w:val="24"/>
        </w:rPr>
        <w:t>capabilities</w:t>
      </w:r>
      <w:r w:rsidR="002514B0">
        <w:rPr>
          <w:sz w:val="24"/>
          <w:szCs w:val="24"/>
        </w:rPr>
        <w:t xml:space="preserve"> </w:t>
      </w:r>
      <w:r w:rsidRPr="00996655">
        <w:rPr>
          <w:sz w:val="24"/>
          <w:szCs w:val="24"/>
        </w:rPr>
        <w:t>and</w:t>
      </w:r>
      <w:r w:rsidR="002514B0">
        <w:rPr>
          <w:sz w:val="24"/>
          <w:szCs w:val="24"/>
        </w:rPr>
        <w:t xml:space="preserve"> </w:t>
      </w:r>
      <w:r w:rsidRPr="00996655">
        <w:rPr>
          <w:sz w:val="24"/>
          <w:szCs w:val="24"/>
        </w:rPr>
        <w:t>potential</w:t>
      </w:r>
      <w:r w:rsidR="002514B0">
        <w:rPr>
          <w:sz w:val="24"/>
          <w:szCs w:val="24"/>
        </w:rPr>
        <w:t xml:space="preserve"> </w:t>
      </w:r>
      <w:r w:rsidRPr="00996655">
        <w:rPr>
          <w:sz w:val="24"/>
          <w:szCs w:val="24"/>
        </w:rPr>
        <w:t>revenues</w:t>
      </w:r>
      <w:r w:rsidR="002514B0">
        <w:rPr>
          <w:sz w:val="24"/>
          <w:szCs w:val="24"/>
        </w:rPr>
        <w:t xml:space="preserve"> </w:t>
      </w:r>
      <w:r w:rsidRPr="00996655">
        <w:rPr>
          <w:sz w:val="24"/>
          <w:szCs w:val="24"/>
        </w:rPr>
        <w:t>of</w:t>
      </w:r>
      <w:r w:rsidR="002514B0">
        <w:rPr>
          <w:sz w:val="24"/>
          <w:szCs w:val="24"/>
        </w:rPr>
        <w:t xml:space="preserve"> </w:t>
      </w:r>
      <w:r w:rsidRPr="00996655">
        <w:rPr>
          <w:sz w:val="24"/>
          <w:szCs w:val="24"/>
        </w:rPr>
        <w:t>a</w:t>
      </w:r>
      <w:r w:rsidR="002514B0">
        <w:rPr>
          <w:sz w:val="24"/>
          <w:szCs w:val="24"/>
        </w:rPr>
        <w:t xml:space="preserve"> </w:t>
      </w:r>
      <w:r w:rsidRPr="00996655">
        <w:rPr>
          <w:sz w:val="24"/>
          <w:szCs w:val="24"/>
        </w:rPr>
        <w:t>community</w:t>
      </w:r>
      <w:r w:rsidR="002514B0">
        <w:rPr>
          <w:sz w:val="24"/>
          <w:szCs w:val="24"/>
        </w:rPr>
        <w:t xml:space="preserve"> </w:t>
      </w:r>
      <w:r w:rsidRPr="00996655">
        <w:rPr>
          <w:sz w:val="24"/>
          <w:szCs w:val="24"/>
        </w:rPr>
        <w:t>solar</w:t>
      </w:r>
      <w:r w:rsidR="002514B0">
        <w:rPr>
          <w:sz w:val="24"/>
          <w:szCs w:val="24"/>
        </w:rPr>
        <w:t xml:space="preserve"> </w:t>
      </w:r>
      <w:r w:rsidRPr="00996655">
        <w:rPr>
          <w:sz w:val="24"/>
          <w:szCs w:val="24"/>
        </w:rPr>
        <w:t>project,</w:t>
      </w:r>
      <w:r w:rsidR="002514B0">
        <w:rPr>
          <w:sz w:val="24"/>
          <w:szCs w:val="24"/>
        </w:rPr>
        <w:t xml:space="preserve"> </w:t>
      </w:r>
      <w:r w:rsidRPr="00996655">
        <w:rPr>
          <w:sz w:val="24"/>
          <w:szCs w:val="24"/>
        </w:rPr>
        <w:t>but</w:t>
      </w:r>
      <w:r w:rsidR="002514B0">
        <w:rPr>
          <w:sz w:val="24"/>
          <w:szCs w:val="24"/>
        </w:rPr>
        <w:t xml:space="preserve"> </w:t>
      </w:r>
      <w:r w:rsidRPr="00996655">
        <w:rPr>
          <w:sz w:val="24"/>
          <w:szCs w:val="24"/>
        </w:rPr>
        <w:t>does</w:t>
      </w:r>
      <w:r w:rsidR="002514B0">
        <w:rPr>
          <w:sz w:val="24"/>
          <w:szCs w:val="24"/>
        </w:rPr>
        <w:t xml:space="preserve"> </w:t>
      </w:r>
      <w:r w:rsidRPr="00996655">
        <w:rPr>
          <w:sz w:val="24"/>
          <w:szCs w:val="24"/>
        </w:rPr>
        <w:t>not</w:t>
      </w:r>
      <w:r w:rsidR="002514B0">
        <w:rPr>
          <w:sz w:val="24"/>
          <w:szCs w:val="24"/>
        </w:rPr>
        <w:t xml:space="preserve"> </w:t>
      </w:r>
      <w:r w:rsidRPr="00996655">
        <w:rPr>
          <w:sz w:val="24"/>
          <w:szCs w:val="24"/>
        </w:rPr>
        <w:t>offer</w:t>
      </w:r>
      <w:r w:rsidR="002514B0">
        <w:rPr>
          <w:sz w:val="24"/>
          <w:szCs w:val="24"/>
        </w:rPr>
        <w:t xml:space="preserve"> </w:t>
      </w:r>
      <w:r w:rsidRPr="00996655">
        <w:rPr>
          <w:sz w:val="24"/>
          <w:szCs w:val="24"/>
        </w:rPr>
        <w:t>any</w:t>
      </w:r>
      <w:r w:rsidR="002514B0">
        <w:rPr>
          <w:sz w:val="24"/>
          <w:szCs w:val="24"/>
        </w:rPr>
        <w:t xml:space="preserve"> </w:t>
      </w:r>
      <w:r w:rsidRPr="00996655">
        <w:rPr>
          <w:sz w:val="24"/>
          <w:szCs w:val="24"/>
        </w:rPr>
        <w:t>analysis,</w:t>
      </w:r>
      <w:r w:rsidR="002514B0">
        <w:rPr>
          <w:sz w:val="24"/>
          <w:szCs w:val="24"/>
        </w:rPr>
        <w:t xml:space="preserve"> </w:t>
      </w:r>
      <w:r w:rsidRPr="00996655">
        <w:rPr>
          <w:sz w:val="24"/>
          <w:szCs w:val="24"/>
        </w:rPr>
        <w:t>testimony</w:t>
      </w:r>
      <w:r w:rsidR="002514B0">
        <w:rPr>
          <w:sz w:val="24"/>
          <w:szCs w:val="24"/>
        </w:rPr>
        <w:t xml:space="preserve"> </w:t>
      </w:r>
      <w:r w:rsidRPr="00996655">
        <w:rPr>
          <w:sz w:val="24"/>
          <w:szCs w:val="24"/>
        </w:rPr>
        <w:t>or</w:t>
      </w:r>
      <w:r w:rsidR="002514B0">
        <w:rPr>
          <w:sz w:val="24"/>
          <w:szCs w:val="24"/>
        </w:rPr>
        <w:t xml:space="preserve"> </w:t>
      </w:r>
      <w:r w:rsidRPr="00996655">
        <w:rPr>
          <w:sz w:val="24"/>
          <w:szCs w:val="24"/>
        </w:rPr>
        <w:t>evidence</w:t>
      </w:r>
      <w:r w:rsidR="002514B0">
        <w:rPr>
          <w:sz w:val="24"/>
          <w:szCs w:val="24"/>
        </w:rPr>
        <w:t xml:space="preserve"> </w:t>
      </w:r>
      <w:r w:rsidRPr="00996655">
        <w:rPr>
          <w:sz w:val="24"/>
          <w:szCs w:val="24"/>
        </w:rPr>
        <w:t>in</w:t>
      </w:r>
      <w:r w:rsidR="002514B0">
        <w:rPr>
          <w:sz w:val="24"/>
          <w:szCs w:val="24"/>
        </w:rPr>
        <w:t xml:space="preserve"> </w:t>
      </w:r>
      <w:r w:rsidRPr="00996655">
        <w:rPr>
          <w:sz w:val="24"/>
          <w:szCs w:val="24"/>
        </w:rPr>
        <w:t>support</w:t>
      </w:r>
      <w:r w:rsidR="002514B0">
        <w:rPr>
          <w:sz w:val="24"/>
          <w:szCs w:val="24"/>
        </w:rPr>
        <w:t xml:space="preserve"> </w:t>
      </w:r>
      <w:r w:rsidRPr="00996655">
        <w:rPr>
          <w:sz w:val="24"/>
          <w:szCs w:val="24"/>
        </w:rPr>
        <w:t>of</w:t>
      </w:r>
      <w:r w:rsidR="002514B0">
        <w:rPr>
          <w:sz w:val="24"/>
          <w:szCs w:val="24"/>
        </w:rPr>
        <w:t xml:space="preserve"> </w:t>
      </w:r>
      <w:r w:rsidRPr="00996655">
        <w:rPr>
          <w:sz w:val="24"/>
          <w:szCs w:val="24"/>
        </w:rPr>
        <w:t>its</w:t>
      </w:r>
      <w:r w:rsidR="002514B0">
        <w:rPr>
          <w:sz w:val="24"/>
          <w:szCs w:val="24"/>
        </w:rPr>
        <w:t xml:space="preserve"> </w:t>
      </w:r>
      <w:r w:rsidRPr="00996655">
        <w:rPr>
          <w:sz w:val="24"/>
          <w:szCs w:val="24"/>
        </w:rPr>
        <w:t>assertions.”</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93;</w:t>
      </w:r>
    </w:p>
    <w:p w14:paraId="317F5DCA" w14:textId="1D81EAEB" w:rsidR="00511610" w:rsidRPr="00996655" w:rsidRDefault="00511610" w:rsidP="00996655">
      <w:pPr>
        <w:pStyle w:val="ListParagraph"/>
        <w:numPr>
          <w:ilvl w:val="0"/>
          <w:numId w:val="30"/>
        </w:numPr>
        <w:rPr>
          <w:sz w:val="24"/>
          <w:szCs w:val="24"/>
        </w:rPr>
      </w:pPr>
      <w:r w:rsidRPr="00996655">
        <w:rPr>
          <w:sz w:val="24"/>
          <w:szCs w:val="24"/>
        </w:rPr>
        <w:t>CLEP</w:t>
      </w:r>
      <w:r w:rsidR="002514B0">
        <w:rPr>
          <w:sz w:val="24"/>
          <w:szCs w:val="24"/>
        </w:rPr>
        <w:t xml:space="preserve"> </w:t>
      </w:r>
      <w:r w:rsidRPr="00996655">
        <w:rPr>
          <w:sz w:val="24"/>
          <w:szCs w:val="24"/>
        </w:rPr>
        <w:t>inappropriately</w:t>
      </w:r>
      <w:r w:rsidR="002514B0">
        <w:rPr>
          <w:sz w:val="24"/>
          <w:szCs w:val="24"/>
        </w:rPr>
        <w:t xml:space="preserve"> </w:t>
      </w:r>
      <w:r w:rsidRPr="00996655">
        <w:rPr>
          <w:sz w:val="24"/>
          <w:szCs w:val="24"/>
        </w:rPr>
        <w:t>didn’t</w:t>
      </w:r>
      <w:r w:rsidR="002514B0">
        <w:rPr>
          <w:sz w:val="24"/>
          <w:szCs w:val="24"/>
        </w:rPr>
        <w:t xml:space="preserve"> </w:t>
      </w:r>
      <w:r w:rsidRPr="00996655">
        <w:rPr>
          <w:sz w:val="24"/>
          <w:szCs w:val="24"/>
        </w:rPr>
        <w:t>adhere</w:t>
      </w:r>
      <w:r w:rsidR="002514B0">
        <w:rPr>
          <w:sz w:val="24"/>
          <w:szCs w:val="24"/>
        </w:rPr>
        <w:t xml:space="preserve"> </w:t>
      </w:r>
      <w:r w:rsidRPr="00996655">
        <w:rPr>
          <w:sz w:val="24"/>
          <w:szCs w:val="24"/>
        </w:rPr>
        <w:t>to</w:t>
      </w:r>
      <w:r w:rsidR="002514B0">
        <w:rPr>
          <w:sz w:val="24"/>
          <w:szCs w:val="24"/>
        </w:rPr>
        <w:t xml:space="preserve"> </w:t>
      </w:r>
      <w:r w:rsidRPr="00996655">
        <w:rPr>
          <w:sz w:val="24"/>
          <w:szCs w:val="24"/>
        </w:rPr>
        <w:t>the</w:t>
      </w:r>
      <w:r w:rsidR="002514B0">
        <w:rPr>
          <w:sz w:val="24"/>
          <w:szCs w:val="24"/>
        </w:rPr>
        <w:t xml:space="preserve"> </w:t>
      </w:r>
      <w:r w:rsidRPr="00996655">
        <w:rPr>
          <w:sz w:val="24"/>
          <w:szCs w:val="24"/>
        </w:rPr>
        <w:t>requirements</w:t>
      </w:r>
      <w:r w:rsidR="002514B0">
        <w:rPr>
          <w:sz w:val="24"/>
          <w:szCs w:val="24"/>
        </w:rPr>
        <w:t xml:space="preserve"> </w:t>
      </w:r>
      <w:r w:rsidRPr="00996655">
        <w:rPr>
          <w:sz w:val="24"/>
          <w:szCs w:val="24"/>
        </w:rPr>
        <w:t>of</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Resolutions</w:t>
      </w:r>
      <w:r w:rsidR="002514B0">
        <w:rPr>
          <w:sz w:val="24"/>
          <w:szCs w:val="24"/>
        </w:rPr>
        <w:t xml:space="preserve"> </w:t>
      </w:r>
      <w:r w:rsidRPr="00996655">
        <w:rPr>
          <w:sz w:val="24"/>
          <w:szCs w:val="24"/>
        </w:rPr>
        <w:t>No.</w:t>
      </w:r>
      <w:r w:rsidR="002514B0">
        <w:rPr>
          <w:sz w:val="24"/>
          <w:szCs w:val="24"/>
        </w:rPr>
        <w:t xml:space="preserve"> </w:t>
      </w:r>
      <w:r w:rsidRPr="00996655">
        <w:rPr>
          <w:sz w:val="24"/>
          <w:szCs w:val="24"/>
        </w:rPr>
        <w:t>R-15-140</w:t>
      </w:r>
      <w:r w:rsidR="002514B0">
        <w:rPr>
          <w:sz w:val="24"/>
          <w:szCs w:val="24"/>
        </w:rPr>
        <w:t xml:space="preserve"> </w:t>
      </w:r>
      <w:r w:rsidRPr="00996655">
        <w:rPr>
          <w:sz w:val="24"/>
          <w:szCs w:val="24"/>
        </w:rPr>
        <w:t>or</w:t>
      </w:r>
      <w:r w:rsidR="002514B0">
        <w:rPr>
          <w:sz w:val="24"/>
          <w:szCs w:val="24"/>
        </w:rPr>
        <w:t xml:space="preserve"> </w:t>
      </w:r>
      <w:r w:rsidRPr="00996655">
        <w:rPr>
          <w:sz w:val="24"/>
          <w:szCs w:val="24"/>
        </w:rPr>
        <w:t>No.</w:t>
      </w:r>
      <w:r w:rsidR="002514B0">
        <w:rPr>
          <w:sz w:val="24"/>
          <w:szCs w:val="24"/>
        </w:rPr>
        <w:t xml:space="preserve"> </w:t>
      </w:r>
      <w:r w:rsidRPr="00996655">
        <w:rPr>
          <w:sz w:val="24"/>
          <w:szCs w:val="24"/>
        </w:rPr>
        <w:t>R-16-106,</w:t>
      </w:r>
      <w:r w:rsidR="002514B0">
        <w:rPr>
          <w:sz w:val="24"/>
          <w:szCs w:val="24"/>
        </w:rPr>
        <w:t xml:space="preserve"> </w:t>
      </w:r>
      <w:r w:rsidRPr="00996655">
        <w:rPr>
          <w:sz w:val="24"/>
          <w:szCs w:val="24"/>
        </w:rPr>
        <w:t>the</w:t>
      </w:r>
      <w:r w:rsidR="002514B0">
        <w:rPr>
          <w:sz w:val="24"/>
          <w:szCs w:val="24"/>
        </w:rPr>
        <w:t xml:space="preserve"> </w:t>
      </w:r>
      <w:r w:rsidRPr="00996655">
        <w:rPr>
          <w:sz w:val="24"/>
          <w:szCs w:val="24"/>
        </w:rPr>
        <w:t>first</w:t>
      </w:r>
      <w:r w:rsidR="002514B0">
        <w:rPr>
          <w:sz w:val="24"/>
          <w:szCs w:val="24"/>
        </w:rPr>
        <w:t xml:space="preserve"> </w:t>
      </w:r>
      <w:r w:rsidRPr="00996655">
        <w:rPr>
          <w:sz w:val="24"/>
          <w:szCs w:val="24"/>
        </w:rPr>
        <w:t>of</w:t>
      </w:r>
      <w:r w:rsidR="002514B0">
        <w:rPr>
          <w:sz w:val="24"/>
          <w:szCs w:val="24"/>
        </w:rPr>
        <w:t xml:space="preserve"> </w:t>
      </w:r>
      <w:r w:rsidRPr="00996655">
        <w:rPr>
          <w:sz w:val="24"/>
          <w:szCs w:val="24"/>
        </w:rPr>
        <w:t>which</w:t>
      </w:r>
      <w:r w:rsidR="002514B0">
        <w:rPr>
          <w:sz w:val="24"/>
          <w:szCs w:val="24"/>
        </w:rPr>
        <w:t xml:space="preserve"> </w:t>
      </w:r>
      <w:r w:rsidRPr="00996655">
        <w:rPr>
          <w:sz w:val="24"/>
          <w:szCs w:val="24"/>
        </w:rPr>
        <w:t>sets</w:t>
      </w:r>
      <w:r w:rsidR="002514B0">
        <w:rPr>
          <w:sz w:val="24"/>
          <w:szCs w:val="24"/>
        </w:rPr>
        <w:t xml:space="preserve"> </w:t>
      </w:r>
      <w:r w:rsidRPr="00996655">
        <w:rPr>
          <w:sz w:val="24"/>
          <w:szCs w:val="24"/>
        </w:rPr>
        <w:t>requirements</w:t>
      </w:r>
      <w:r w:rsidR="002514B0">
        <w:rPr>
          <w:sz w:val="24"/>
          <w:szCs w:val="24"/>
        </w:rPr>
        <w:t xml:space="preserve"> </w:t>
      </w:r>
      <w:r w:rsidRPr="00996655">
        <w:rPr>
          <w:sz w:val="24"/>
          <w:szCs w:val="24"/>
        </w:rPr>
        <w:t>for</w:t>
      </w:r>
      <w:r w:rsidR="002514B0">
        <w:rPr>
          <w:sz w:val="24"/>
          <w:szCs w:val="24"/>
        </w:rPr>
        <w:t xml:space="preserve"> </w:t>
      </w:r>
      <w:r w:rsidRPr="00996655">
        <w:rPr>
          <w:sz w:val="24"/>
          <w:szCs w:val="24"/>
        </w:rPr>
        <w:t>Pilot</w:t>
      </w:r>
      <w:r w:rsidR="002514B0">
        <w:rPr>
          <w:sz w:val="24"/>
          <w:szCs w:val="24"/>
        </w:rPr>
        <w:t xml:space="preserve"> </w:t>
      </w:r>
      <w:r w:rsidRPr="00996655">
        <w:rPr>
          <w:sz w:val="24"/>
          <w:szCs w:val="24"/>
        </w:rPr>
        <w:t>proposals.</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90;</w:t>
      </w:r>
    </w:p>
    <w:p w14:paraId="7E3DE512" w14:textId="6CB12DC2" w:rsidR="00511610" w:rsidRPr="00996655" w:rsidRDefault="00511610" w:rsidP="00996655">
      <w:pPr>
        <w:pStyle w:val="ListParagraph"/>
        <w:numPr>
          <w:ilvl w:val="0"/>
          <w:numId w:val="30"/>
        </w:numPr>
        <w:rPr>
          <w:sz w:val="24"/>
          <w:szCs w:val="24"/>
        </w:rPr>
      </w:pPr>
      <w:r w:rsidRPr="00996655">
        <w:rPr>
          <w:sz w:val="24"/>
          <w:szCs w:val="24"/>
        </w:rPr>
        <w:t>CLEP’s</w:t>
      </w:r>
      <w:r w:rsidR="002514B0">
        <w:rPr>
          <w:sz w:val="24"/>
          <w:szCs w:val="24"/>
        </w:rPr>
        <w:t xml:space="preserve"> </w:t>
      </w:r>
      <w:r w:rsidRPr="00996655">
        <w:rPr>
          <w:sz w:val="24"/>
          <w:szCs w:val="24"/>
        </w:rPr>
        <w:t>community</w:t>
      </w:r>
      <w:r w:rsidR="002514B0">
        <w:rPr>
          <w:sz w:val="24"/>
          <w:szCs w:val="24"/>
        </w:rPr>
        <w:t xml:space="preserve"> </w:t>
      </w:r>
      <w:r w:rsidRPr="00996655">
        <w:rPr>
          <w:sz w:val="24"/>
          <w:szCs w:val="24"/>
        </w:rPr>
        <w:t>solar</w:t>
      </w:r>
      <w:r w:rsidR="002514B0">
        <w:rPr>
          <w:sz w:val="24"/>
          <w:szCs w:val="24"/>
        </w:rPr>
        <w:t xml:space="preserve"> </w:t>
      </w:r>
      <w:r w:rsidRPr="00996655">
        <w:rPr>
          <w:sz w:val="24"/>
          <w:szCs w:val="24"/>
        </w:rPr>
        <w:t>proposal</w:t>
      </w:r>
      <w:r w:rsidR="002514B0">
        <w:rPr>
          <w:sz w:val="24"/>
          <w:szCs w:val="24"/>
        </w:rPr>
        <w:t xml:space="preserve"> </w:t>
      </w:r>
      <w:r w:rsidRPr="00996655">
        <w:rPr>
          <w:sz w:val="24"/>
          <w:szCs w:val="24"/>
        </w:rPr>
        <w:t>does</w:t>
      </w:r>
      <w:r w:rsidR="002514B0">
        <w:rPr>
          <w:sz w:val="24"/>
          <w:szCs w:val="24"/>
        </w:rPr>
        <w:t xml:space="preserve"> </w:t>
      </w:r>
      <w:r w:rsidRPr="00996655">
        <w:rPr>
          <w:sz w:val="24"/>
          <w:szCs w:val="24"/>
        </w:rPr>
        <w:t>not</w:t>
      </w:r>
      <w:r w:rsidR="002514B0">
        <w:rPr>
          <w:sz w:val="24"/>
          <w:szCs w:val="24"/>
        </w:rPr>
        <w:t xml:space="preserve"> </w:t>
      </w:r>
      <w:r w:rsidRPr="00996655">
        <w:rPr>
          <w:sz w:val="24"/>
          <w:szCs w:val="24"/>
        </w:rPr>
        <w:t>provide</w:t>
      </w:r>
      <w:r w:rsidR="002514B0">
        <w:rPr>
          <w:sz w:val="24"/>
          <w:szCs w:val="24"/>
        </w:rPr>
        <w:t xml:space="preserve"> </w:t>
      </w:r>
      <w:r w:rsidRPr="00996655">
        <w:rPr>
          <w:sz w:val="24"/>
          <w:szCs w:val="24"/>
        </w:rPr>
        <w:t>a</w:t>
      </w:r>
      <w:r w:rsidR="002514B0">
        <w:rPr>
          <w:sz w:val="24"/>
          <w:szCs w:val="24"/>
        </w:rPr>
        <w:t xml:space="preserve"> </w:t>
      </w:r>
      <w:r w:rsidRPr="00996655">
        <w:rPr>
          <w:sz w:val="24"/>
          <w:szCs w:val="24"/>
        </w:rPr>
        <w:t>funding</w:t>
      </w:r>
      <w:r w:rsidR="002514B0">
        <w:rPr>
          <w:sz w:val="24"/>
          <w:szCs w:val="24"/>
        </w:rPr>
        <w:t xml:space="preserve"> </w:t>
      </w:r>
      <w:r w:rsidRPr="00996655">
        <w:rPr>
          <w:sz w:val="24"/>
          <w:szCs w:val="24"/>
        </w:rPr>
        <w:t>mechanism.</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92;</w:t>
      </w:r>
    </w:p>
    <w:p w14:paraId="2789E9D0" w14:textId="7B4C337A" w:rsidR="00511610" w:rsidRPr="00996655" w:rsidRDefault="00511610" w:rsidP="00996655">
      <w:pPr>
        <w:pStyle w:val="ListParagraph"/>
        <w:numPr>
          <w:ilvl w:val="0"/>
          <w:numId w:val="30"/>
        </w:numPr>
        <w:rPr>
          <w:sz w:val="24"/>
          <w:szCs w:val="24"/>
        </w:rPr>
      </w:pPr>
      <w:r w:rsidRPr="00996655">
        <w:rPr>
          <w:sz w:val="24"/>
          <w:szCs w:val="24"/>
        </w:rPr>
        <w:t>CLEP</w:t>
      </w:r>
      <w:r w:rsidR="002514B0">
        <w:rPr>
          <w:sz w:val="24"/>
          <w:szCs w:val="24"/>
        </w:rPr>
        <w:t xml:space="preserve"> </w:t>
      </w:r>
      <w:r w:rsidRPr="00996655">
        <w:rPr>
          <w:sz w:val="24"/>
          <w:szCs w:val="24"/>
        </w:rPr>
        <w:t>“requires</w:t>
      </w:r>
      <w:r w:rsidR="002514B0">
        <w:rPr>
          <w:sz w:val="24"/>
          <w:szCs w:val="24"/>
        </w:rPr>
        <w:t xml:space="preserve"> </w:t>
      </w:r>
      <w:r w:rsidRPr="00996655">
        <w:rPr>
          <w:sz w:val="24"/>
          <w:szCs w:val="24"/>
        </w:rPr>
        <w:t>an</w:t>
      </w:r>
      <w:r w:rsidR="002514B0">
        <w:rPr>
          <w:sz w:val="24"/>
          <w:szCs w:val="24"/>
        </w:rPr>
        <w:t xml:space="preserve"> </w:t>
      </w:r>
      <w:r w:rsidRPr="00996655">
        <w:rPr>
          <w:sz w:val="24"/>
          <w:szCs w:val="24"/>
        </w:rPr>
        <w:t>extensive</w:t>
      </w:r>
      <w:r w:rsidR="002514B0">
        <w:rPr>
          <w:sz w:val="24"/>
          <w:szCs w:val="24"/>
        </w:rPr>
        <w:t xml:space="preserve"> </w:t>
      </w:r>
      <w:r w:rsidRPr="00996655">
        <w:rPr>
          <w:sz w:val="24"/>
          <w:szCs w:val="24"/>
        </w:rPr>
        <w:t>amount</w:t>
      </w:r>
      <w:r w:rsidR="002514B0">
        <w:rPr>
          <w:sz w:val="24"/>
          <w:szCs w:val="24"/>
        </w:rPr>
        <w:t xml:space="preserve"> </w:t>
      </w:r>
      <w:r w:rsidRPr="00996655">
        <w:rPr>
          <w:sz w:val="24"/>
          <w:szCs w:val="24"/>
        </w:rPr>
        <w:t>of</w:t>
      </w:r>
      <w:r w:rsidR="002514B0">
        <w:rPr>
          <w:sz w:val="24"/>
          <w:szCs w:val="24"/>
        </w:rPr>
        <w:t xml:space="preserve"> </w:t>
      </w:r>
      <w:r w:rsidRPr="00996655">
        <w:rPr>
          <w:sz w:val="24"/>
          <w:szCs w:val="24"/>
        </w:rPr>
        <w:t>setup</w:t>
      </w:r>
      <w:r w:rsidR="002514B0">
        <w:rPr>
          <w:sz w:val="24"/>
          <w:szCs w:val="24"/>
        </w:rPr>
        <w:t xml:space="preserve"> </w:t>
      </w:r>
      <w:r w:rsidRPr="00996655">
        <w:rPr>
          <w:sz w:val="24"/>
          <w:szCs w:val="24"/>
        </w:rPr>
        <w:t>for</w:t>
      </w:r>
      <w:r w:rsidR="002514B0">
        <w:rPr>
          <w:sz w:val="24"/>
          <w:szCs w:val="24"/>
        </w:rPr>
        <w:t xml:space="preserve"> </w:t>
      </w:r>
      <w:r w:rsidRPr="00996655">
        <w:rPr>
          <w:sz w:val="24"/>
          <w:szCs w:val="24"/>
        </w:rPr>
        <w:t>each</w:t>
      </w:r>
      <w:r w:rsidR="002514B0">
        <w:rPr>
          <w:sz w:val="24"/>
          <w:szCs w:val="24"/>
        </w:rPr>
        <w:t xml:space="preserve"> </w:t>
      </w:r>
      <w:r w:rsidRPr="00996655">
        <w:rPr>
          <w:sz w:val="24"/>
          <w:szCs w:val="24"/>
        </w:rPr>
        <w:t>customer</w:t>
      </w:r>
      <w:r w:rsidR="002514B0">
        <w:rPr>
          <w:sz w:val="24"/>
          <w:szCs w:val="24"/>
        </w:rPr>
        <w:t xml:space="preserve"> </w:t>
      </w:r>
      <w:r w:rsidRPr="00996655">
        <w:rPr>
          <w:sz w:val="24"/>
          <w:szCs w:val="24"/>
        </w:rPr>
        <w:t>–</w:t>
      </w:r>
      <w:r w:rsidR="002514B0">
        <w:rPr>
          <w:sz w:val="24"/>
          <w:szCs w:val="24"/>
        </w:rPr>
        <w:t xml:space="preserve"> </w:t>
      </w:r>
      <w:r w:rsidRPr="00996655">
        <w:rPr>
          <w:sz w:val="24"/>
          <w:szCs w:val="24"/>
        </w:rPr>
        <w:t>new</w:t>
      </w:r>
      <w:r w:rsidR="002514B0">
        <w:rPr>
          <w:sz w:val="24"/>
          <w:szCs w:val="24"/>
        </w:rPr>
        <w:t xml:space="preserve"> </w:t>
      </w:r>
      <w:r w:rsidRPr="00996655">
        <w:rPr>
          <w:sz w:val="24"/>
          <w:szCs w:val="24"/>
        </w:rPr>
        <w:t>metering</w:t>
      </w:r>
      <w:r w:rsidR="002514B0">
        <w:rPr>
          <w:sz w:val="24"/>
          <w:szCs w:val="24"/>
        </w:rPr>
        <w:t xml:space="preserve"> </w:t>
      </w:r>
      <w:r w:rsidRPr="00996655">
        <w:rPr>
          <w:sz w:val="24"/>
          <w:szCs w:val="24"/>
        </w:rPr>
        <w:t>equipment</w:t>
      </w:r>
      <w:r w:rsidR="002514B0">
        <w:rPr>
          <w:sz w:val="24"/>
          <w:szCs w:val="24"/>
        </w:rPr>
        <w:t xml:space="preserve"> </w:t>
      </w:r>
      <w:r w:rsidRPr="00996655">
        <w:rPr>
          <w:sz w:val="24"/>
          <w:szCs w:val="24"/>
        </w:rPr>
        <w:t>…”</w:t>
      </w:r>
      <w:r w:rsidR="002514B0">
        <w:rPr>
          <w:sz w:val="24"/>
          <w:szCs w:val="24"/>
        </w:rPr>
        <w:t xml:space="preserve"> </w:t>
      </w:r>
      <w:r w:rsidRPr="00996655">
        <w:rPr>
          <w:sz w:val="24"/>
          <w:szCs w:val="24"/>
        </w:rPr>
        <w:t>Council</w:t>
      </w:r>
      <w:r w:rsidR="002514B0">
        <w:rPr>
          <w:sz w:val="24"/>
          <w:szCs w:val="24"/>
        </w:rPr>
        <w:t xml:space="preserve"> </w:t>
      </w:r>
      <w:r w:rsidRPr="00996655">
        <w:rPr>
          <w:sz w:val="24"/>
          <w:szCs w:val="24"/>
        </w:rPr>
        <w:t>Resolution</w:t>
      </w:r>
      <w:r w:rsidR="002514B0">
        <w:rPr>
          <w:sz w:val="24"/>
          <w:szCs w:val="24"/>
        </w:rPr>
        <w:t xml:space="preserve"> </w:t>
      </w:r>
      <w:r w:rsidRPr="00996655">
        <w:rPr>
          <w:sz w:val="24"/>
          <w:szCs w:val="24"/>
        </w:rPr>
        <w:t>R-17-100,</w:t>
      </w:r>
      <w:r w:rsidR="002514B0">
        <w:rPr>
          <w:sz w:val="24"/>
          <w:szCs w:val="24"/>
        </w:rPr>
        <w:t xml:space="preserve"> </w:t>
      </w:r>
      <w:r w:rsidRPr="00996655">
        <w:rPr>
          <w:sz w:val="24"/>
          <w:szCs w:val="24"/>
        </w:rPr>
        <w:t>p</w:t>
      </w:r>
      <w:r w:rsidR="002514B0">
        <w:rPr>
          <w:sz w:val="24"/>
          <w:szCs w:val="24"/>
        </w:rPr>
        <w:t xml:space="preserve"> </w:t>
      </w:r>
      <w:r w:rsidRPr="00996655">
        <w:rPr>
          <w:sz w:val="24"/>
          <w:szCs w:val="24"/>
        </w:rPr>
        <w:t>91;</w:t>
      </w:r>
    </w:p>
    <w:p w14:paraId="70DB9738" w14:textId="46C70AEA" w:rsidR="00511610" w:rsidRPr="003C7F6D" w:rsidRDefault="00511610" w:rsidP="003C6728">
      <w:pPr>
        <w:rPr>
          <w:sz w:val="24"/>
          <w:szCs w:val="24"/>
        </w:rPr>
      </w:pPr>
      <w:r w:rsidRPr="003C7F6D">
        <w:rPr>
          <w:sz w:val="24"/>
          <w:szCs w:val="24"/>
        </w:rPr>
        <w:t>The</w:t>
      </w:r>
      <w:r w:rsidR="002514B0">
        <w:rPr>
          <w:sz w:val="24"/>
          <w:szCs w:val="24"/>
        </w:rPr>
        <w:t xml:space="preserve"> </w:t>
      </w:r>
      <w:r w:rsidRPr="003C7F6D">
        <w:rPr>
          <w:sz w:val="24"/>
          <w:szCs w:val="24"/>
        </w:rPr>
        <w:t>conditions</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prevailed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are</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substantially</w:t>
      </w:r>
      <w:r w:rsidR="002514B0">
        <w:rPr>
          <w:sz w:val="24"/>
          <w:szCs w:val="24"/>
        </w:rPr>
        <w:t xml:space="preserve"> </w:t>
      </w:r>
      <w:r w:rsidRPr="003C7F6D">
        <w:rPr>
          <w:sz w:val="24"/>
          <w:szCs w:val="24"/>
        </w:rPr>
        <w:t>different</w:t>
      </w:r>
      <w:r w:rsidR="002514B0">
        <w:rPr>
          <w:sz w:val="24"/>
          <w:szCs w:val="24"/>
        </w:rPr>
        <w:t xml:space="preserve"> </w:t>
      </w:r>
      <w:r w:rsidRPr="003C7F6D">
        <w:rPr>
          <w:sz w:val="24"/>
          <w:szCs w:val="24"/>
        </w:rPr>
        <w:t>from</w:t>
      </w:r>
      <w:r w:rsidR="002514B0">
        <w:rPr>
          <w:sz w:val="24"/>
          <w:szCs w:val="24"/>
        </w:rPr>
        <w:t xml:space="preserve"> </w:t>
      </w:r>
      <w:r w:rsidRPr="003C7F6D">
        <w:rPr>
          <w:sz w:val="24"/>
          <w:szCs w:val="24"/>
        </w:rPr>
        <w:t>those</w:t>
      </w:r>
      <w:r w:rsidR="002514B0">
        <w:rPr>
          <w:sz w:val="24"/>
          <w:szCs w:val="24"/>
        </w:rPr>
        <w:t xml:space="preserve"> </w:t>
      </w:r>
      <w:r w:rsidRPr="003C7F6D">
        <w:rPr>
          <w:sz w:val="24"/>
          <w:szCs w:val="24"/>
        </w:rPr>
        <w:t>present</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and</w:t>
      </w:r>
    </w:p>
    <w:p w14:paraId="33452433" w14:textId="591CE53B" w:rsidR="00511610" w:rsidRPr="003C7F6D" w:rsidRDefault="00511610" w:rsidP="003C6728">
      <w:pPr>
        <w:rPr>
          <w:sz w:val="24"/>
          <w:szCs w:val="24"/>
        </w:rPr>
      </w:pPr>
      <w:r w:rsidRPr="003C7F6D">
        <w:rPr>
          <w:sz w:val="24"/>
          <w:szCs w:val="24"/>
        </w:rPr>
        <w:t>CLEP</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described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substantially</w:t>
      </w:r>
      <w:r w:rsidR="002514B0">
        <w:rPr>
          <w:sz w:val="24"/>
          <w:szCs w:val="24"/>
        </w:rPr>
        <w:t xml:space="preserve"> </w:t>
      </w:r>
      <w:r w:rsidRPr="003C7F6D">
        <w:rPr>
          <w:sz w:val="24"/>
          <w:szCs w:val="24"/>
        </w:rPr>
        <w:t>different</w:t>
      </w:r>
      <w:r w:rsidR="002514B0">
        <w:rPr>
          <w:sz w:val="24"/>
          <w:szCs w:val="24"/>
        </w:rPr>
        <w:t xml:space="preserve"> </w:t>
      </w:r>
      <w:r w:rsidRPr="003C7F6D">
        <w:rPr>
          <w:sz w:val="24"/>
          <w:szCs w:val="24"/>
        </w:rPr>
        <w:t>from</w:t>
      </w:r>
      <w:r w:rsidR="002514B0">
        <w:rPr>
          <w:sz w:val="24"/>
          <w:szCs w:val="24"/>
        </w:rPr>
        <w:t xml:space="preserve"> </w:t>
      </w:r>
      <w:r w:rsidRPr="003C7F6D">
        <w:rPr>
          <w:sz w:val="24"/>
          <w:szCs w:val="24"/>
        </w:rPr>
        <w:t>its</w:t>
      </w:r>
      <w:r w:rsidR="002514B0">
        <w:rPr>
          <w:sz w:val="24"/>
          <w:szCs w:val="24"/>
        </w:rPr>
        <w:t xml:space="preserve"> </w:t>
      </w:r>
      <w:r w:rsidRPr="003C7F6D">
        <w:rPr>
          <w:sz w:val="24"/>
          <w:szCs w:val="24"/>
        </w:rPr>
        <w:t>description</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2019.</w:t>
      </w:r>
    </w:p>
    <w:p w14:paraId="7E8A7EE2" w14:textId="5D3DA17B" w:rsidR="00511610" w:rsidRPr="003C7F6D" w:rsidRDefault="00511610" w:rsidP="003C6728">
      <w:pPr>
        <w:rPr>
          <w:sz w:val="24"/>
          <w:szCs w:val="24"/>
        </w:rPr>
      </w:pPr>
      <w:r w:rsidRPr="003C7F6D">
        <w:rPr>
          <w:sz w:val="24"/>
          <w:szCs w:val="24"/>
        </w:rPr>
        <w:tab/>
        <w:t>Because</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sz w:val="24"/>
          <w:szCs w:val="24"/>
        </w:rPr>
        <w:t xml:space="preserve"> </w:t>
      </w:r>
      <w:r w:rsidRPr="003C7F6D">
        <w:rPr>
          <w:sz w:val="24"/>
          <w:szCs w:val="24"/>
        </w:rPr>
        <w:t>blanket</w:t>
      </w:r>
      <w:r w:rsidR="002514B0">
        <w:rPr>
          <w:sz w:val="24"/>
          <w:szCs w:val="24"/>
        </w:rPr>
        <w:t xml:space="preserve"> </w:t>
      </w:r>
      <w:r w:rsidRPr="003C7F6D">
        <w:rPr>
          <w:sz w:val="24"/>
          <w:szCs w:val="24"/>
        </w:rPr>
        <w:t>assertion</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March</w:t>
      </w:r>
      <w:r w:rsidR="002514B0">
        <w:rPr>
          <w:sz w:val="24"/>
          <w:szCs w:val="24"/>
        </w:rPr>
        <w:t xml:space="preserve"> </w:t>
      </w:r>
      <w:r w:rsidRPr="003C7F6D">
        <w:rPr>
          <w:sz w:val="24"/>
          <w:szCs w:val="24"/>
        </w:rPr>
        <w:t>22,</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CLEP’s</w:t>
      </w:r>
      <w:r w:rsidR="002514B0">
        <w:rPr>
          <w:sz w:val="24"/>
          <w:szCs w:val="24"/>
        </w:rPr>
        <w:t xml:space="preserve"> </w:t>
      </w:r>
      <w:r w:rsidRPr="003C7F6D">
        <w:rPr>
          <w:sz w:val="24"/>
          <w:szCs w:val="24"/>
        </w:rPr>
        <w:t>description’s</w:t>
      </w:r>
      <w:r w:rsidR="002514B0">
        <w:rPr>
          <w:sz w:val="24"/>
          <w:szCs w:val="24"/>
        </w:rPr>
        <w:t xml:space="preserve"> </w:t>
      </w:r>
      <w:r w:rsidRPr="003C7F6D">
        <w:rPr>
          <w:sz w:val="24"/>
          <w:szCs w:val="24"/>
        </w:rPr>
        <w:t>from</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short-comings</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enumerated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R-17-100,</w:t>
      </w:r>
      <w:r w:rsidR="002514B0">
        <w:rPr>
          <w:sz w:val="24"/>
          <w:szCs w:val="24"/>
        </w:rPr>
        <w:t xml:space="preserve"> </w:t>
      </w:r>
      <w:r w:rsidRPr="003C7F6D">
        <w:rPr>
          <w:sz w:val="24"/>
          <w:szCs w:val="24"/>
        </w:rPr>
        <w:t>were</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remediated</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refined</w:t>
      </w:r>
      <w:r w:rsidR="002514B0">
        <w:rPr>
          <w:sz w:val="24"/>
          <w:szCs w:val="24"/>
        </w:rPr>
        <w:t xml:space="preserve"> </w:t>
      </w:r>
      <w:r w:rsidRPr="003C7F6D">
        <w:rPr>
          <w:sz w:val="24"/>
          <w:szCs w:val="24"/>
        </w:rPr>
        <w:t>version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set</w:t>
      </w:r>
      <w:r w:rsidR="002514B0">
        <w:rPr>
          <w:sz w:val="24"/>
          <w:szCs w:val="24"/>
        </w:rPr>
        <w:t xml:space="preserve"> </w:t>
      </w:r>
      <w:r w:rsidRPr="003C7F6D">
        <w:rPr>
          <w:sz w:val="24"/>
          <w:szCs w:val="24"/>
        </w:rPr>
        <w:t>forth</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BSI’s</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filing</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docket</w:t>
      </w:r>
      <w:r w:rsidR="002514B0">
        <w:rPr>
          <w:sz w:val="24"/>
          <w:szCs w:val="24"/>
        </w:rPr>
        <w:t xml:space="preserve"> </w:t>
      </w:r>
      <w:r w:rsidRPr="003C7F6D">
        <w:rPr>
          <w:sz w:val="24"/>
          <w:szCs w:val="24"/>
        </w:rPr>
        <w:t>nor</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other</w:t>
      </w:r>
      <w:r w:rsidR="002514B0">
        <w:rPr>
          <w:sz w:val="24"/>
          <w:szCs w:val="24"/>
        </w:rPr>
        <w:t xml:space="preserve"> </w:t>
      </w:r>
      <w:r w:rsidRPr="003C7F6D">
        <w:rPr>
          <w:sz w:val="24"/>
          <w:szCs w:val="24"/>
        </w:rPr>
        <w:t>things</w:t>
      </w:r>
      <w:r w:rsidR="002514B0">
        <w:rPr>
          <w:sz w:val="24"/>
          <w:szCs w:val="24"/>
        </w:rPr>
        <w:t xml:space="preserve"> </w:t>
      </w:r>
      <w:r w:rsidRPr="003C7F6D">
        <w:rPr>
          <w:sz w:val="24"/>
          <w:szCs w:val="24"/>
        </w:rPr>
        <w:t>have</w:t>
      </w:r>
      <w:r w:rsidR="002514B0">
        <w:rPr>
          <w:sz w:val="24"/>
          <w:szCs w:val="24"/>
        </w:rPr>
        <w:t xml:space="preserve"> </w:t>
      </w:r>
      <w:r w:rsidRPr="003C7F6D">
        <w:rPr>
          <w:sz w:val="24"/>
          <w:szCs w:val="24"/>
        </w:rPr>
        <w:t>changed</w:t>
      </w:r>
      <w:r w:rsidR="002514B0">
        <w:rPr>
          <w:sz w:val="24"/>
          <w:szCs w:val="24"/>
        </w:rPr>
        <w:t xml:space="preserve"> </w:t>
      </w:r>
      <w:r w:rsidRPr="003C7F6D">
        <w:rPr>
          <w:sz w:val="24"/>
          <w:szCs w:val="24"/>
        </w:rPr>
        <w:t>substantially</w:t>
      </w:r>
      <w:r w:rsidR="002514B0">
        <w:rPr>
          <w:sz w:val="24"/>
          <w:szCs w:val="24"/>
        </w:rPr>
        <w:t xml:space="preserve"> </w:t>
      </w:r>
      <w:r w:rsidRPr="003C7F6D">
        <w:rPr>
          <w:sz w:val="24"/>
          <w:szCs w:val="24"/>
        </w:rPr>
        <w:t>since</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when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earlier</w:t>
      </w:r>
      <w:r w:rsidR="002514B0">
        <w:rPr>
          <w:sz w:val="24"/>
          <w:szCs w:val="24"/>
        </w:rPr>
        <w:t xml:space="preserve"> </w:t>
      </w:r>
      <w:r w:rsidRPr="003C7F6D">
        <w:rPr>
          <w:sz w:val="24"/>
          <w:szCs w:val="24"/>
        </w:rPr>
        <w:t>filing</w:t>
      </w:r>
      <w:r w:rsidR="002514B0">
        <w:rPr>
          <w:sz w:val="24"/>
          <w:szCs w:val="24"/>
        </w:rPr>
        <w:t xml:space="preserve"> </w:t>
      </w:r>
      <w:r w:rsidRPr="003C7F6D">
        <w:rPr>
          <w:sz w:val="24"/>
          <w:szCs w:val="24"/>
        </w:rPr>
        <w:t>occurred,</w:t>
      </w:r>
      <w:r w:rsidR="002514B0">
        <w:rPr>
          <w:sz w:val="24"/>
          <w:szCs w:val="24"/>
        </w:rPr>
        <w:t xml:space="preserve"> </w:t>
      </w:r>
      <w:r w:rsidRPr="003C7F6D">
        <w:rPr>
          <w:sz w:val="24"/>
          <w:szCs w:val="24"/>
        </w:rPr>
        <w:t>there</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need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delve</w:t>
      </w:r>
      <w:r w:rsidR="002514B0">
        <w:rPr>
          <w:sz w:val="24"/>
          <w:szCs w:val="24"/>
        </w:rPr>
        <w:t xml:space="preserve"> </w:t>
      </w:r>
      <w:r w:rsidRPr="003C7F6D">
        <w:rPr>
          <w:sz w:val="24"/>
          <w:szCs w:val="24"/>
        </w:rPr>
        <w:t>into</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wording</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motions</w:t>
      </w:r>
      <w:r w:rsidR="002514B0">
        <w:rPr>
          <w:sz w:val="24"/>
          <w:szCs w:val="24"/>
        </w:rPr>
        <w:t xml:space="preserve"> </w:t>
      </w:r>
      <w:r w:rsidRPr="003C7F6D">
        <w:rPr>
          <w:sz w:val="24"/>
          <w:szCs w:val="24"/>
        </w:rPr>
        <w:t>made</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promote</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three</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programs,</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instead</w:t>
      </w:r>
      <w:r w:rsidR="002514B0">
        <w:rPr>
          <w:sz w:val="24"/>
          <w:szCs w:val="24"/>
        </w:rPr>
        <w:t xml:space="preserve"> </w:t>
      </w:r>
      <w:r w:rsidRPr="003C7F6D">
        <w:rPr>
          <w:sz w:val="24"/>
          <w:szCs w:val="24"/>
        </w:rPr>
        <w:t>each</w:t>
      </w:r>
      <w:r w:rsidR="002514B0">
        <w:rPr>
          <w:sz w:val="24"/>
          <w:szCs w:val="24"/>
        </w:rPr>
        <w:t xml:space="preserve"> </w:t>
      </w:r>
      <w:r w:rsidRPr="003C7F6D">
        <w:rPr>
          <w:sz w:val="24"/>
          <w:szCs w:val="24"/>
        </w:rPr>
        <w:t>answer</w:t>
      </w:r>
      <w:r w:rsidR="002514B0">
        <w:rPr>
          <w:sz w:val="24"/>
          <w:szCs w:val="24"/>
        </w:rPr>
        <w:t xml:space="preserve"> </w:t>
      </w:r>
      <w:r w:rsidRPr="003C7F6D">
        <w:rPr>
          <w:sz w:val="24"/>
          <w:szCs w:val="24"/>
        </w:rPr>
        <w:t>will</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provided</w:t>
      </w:r>
      <w:r w:rsidR="002514B0">
        <w:rPr>
          <w:sz w:val="24"/>
          <w:szCs w:val="24"/>
        </w:rPr>
        <w:t xml:space="preserve"> </w:t>
      </w:r>
      <w:r w:rsidRPr="003C7F6D">
        <w:rPr>
          <w:sz w:val="24"/>
          <w:szCs w:val="24"/>
        </w:rPr>
        <w:t>through</w:t>
      </w:r>
      <w:r w:rsidR="002514B0">
        <w:rPr>
          <w:sz w:val="24"/>
          <w:szCs w:val="24"/>
        </w:rPr>
        <w:t xml:space="preserve"> </w:t>
      </w:r>
      <w:r w:rsidRPr="003C7F6D">
        <w:rPr>
          <w:sz w:val="24"/>
          <w:szCs w:val="24"/>
        </w:rPr>
        <w:t>excerpts</w:t>
      </w:r>
      <w:r w:rsidR="002514B0">
        <w:rPr>
          <w:sz w:val="24"/>
          <w:szCs w:val="24"/>
        </w:rPr>
        <w:t xml:space="preserve"> </w:t>
      </w:r>
      <w:r w:rsidRPr="003C7F6D">
        <w:rPr>
          <w:sz w:val="24"/>
          <w:szCs w:val="24"/>
        </w:rPr>
        <w:t>from</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reference</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what</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changed</w:t>
      </w:r>
      <w:r w:rsidR="002514B0">
        <w:rPr>
          <w:sz w:val="24"/>
          <w:szCs w:val="24"/>
        </w:rPr>
        <w:t xml:space="preserve"> </w:t>
      </w:r>
      <w:r w:rsidRPr="003C7F6D">
        <w:rPr>
          <w:sz w:val="24"/>
          <w:szCs w:val="24"/>
        </w:rPr>
        <w:t>since</w:t>
      </w:r>
      <w:r w:rsidR="002514B0">
        <w:rPr>
          <w:sz w:val="24"/>
          <w:szCs w:val="24"/>
        </w:rPr>
        <w:t xml:space="preserve"> </w:t>
      </w:r>
      <w:r w:rsidRPr="003C7F6D">
        <w:rPr>
          <w:sz w:val="24"/>
          <w:szCs w:val="24"/>
        </w:rPr>
        <w:t>then.</w:t>
      </w:r>
    </w:p>
    <w:p w14:paraId="22329372" w14:textId="77777777" w:rsidR="00511610" w:rsidRPr="003C7F6D" w:rsidRDefault="00511610" w:rsidP="003C6728">
      <w:pPr>
        <w:rPr>
          <w:sz w:val="24"/>
          <w:szCs w:val="24"/>
        </w:rPr>
      </w:pPr>
    </w:p>
    <w:p w14:paraId="094F5342" w14:textId="272AB580" w:rsidR="00511610" w:rsidRPr="003C7F6D" w:rsidRDefault="00511610" w:rsidP="003C6728">
      <w:pPr>
        <w:rPr>
          <w:b/>
          <w:sz w:val="24"/>
          <w:szCs w:val="24"/>
        </w:rPr>
      </w:pPr>
      <w:r w:rsidRPr="003C7F6D">
        <w:rPr>
          <w:b/>
          <w:sz w:val="24"/>
          <w:szCs w:val="24"/>
        </w:rPr>
        <w:t>Q3.</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“BSI</w:t>
      </w:r>
      <w:r w:rsidR="002514B0">
        <w:rPr>
          <w:b/>
          <w:sz w:val="24"/>
          <w:szCs w:val="24"/>
        </w:rPr>
        <w:t xml:space="preserve"> </w:t>
      </w:r>
      <w:r w:rsidRPr="003C7F6D">
        <w:rPr>
          <w:b/>
          <w:sz w:val="24"/>
          <w:szCs w:val="24"/>
        </w:rPr>
        <w:t>does</w:t>
      </w:r>
      <w:r w:rsidR="002514B0">
        <w:rPr>
          <w:b/>
          <w:sz w:val="24"/>
          <w:szCs w:val="24"/>
        </w:rPr>
        <w:t xml:space="preserve"> </w:t>
      </w:r>
      <w:r w:rsidRPr="003C7F6D">
        <w:rPr>
          <w:b/>
          <w:sz w:val="24"/>
          <w:szCs w:val="24"/>
        </w:rPr>
        <w:t>not</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where</w:t>
      </w:r>
      <w:r w:rsidR="002514B0">
        <w:rPr>
          <w:b/>
          <w:sz w:val="24"/>
          <w:szCs w:val="24"/>
        </w:rPr>
        <w:t xml:space="preserve"> </w:t>
      </w:r>
      <w:r w:rsidRPr="003C7F6D">
        <w:rPr>
          <w:b/>
          <w:sz w:val="24"/>
          <w:szCs w:val="24"/>
        </w:rPr>
        <w:t>this</w:t>
      </w:r>
      <w:r w:rsidR="002514B0">
        <w:rPr>
          <w:b/>
          <w:sz w:val="24"/>
          <w:szCs w:val="24"/>
        </w:rPr>
        <w:t xml:space="preserve"> </w:t>
      </w:r>
      <w:r w:rsidRPr="003C7F6D">
        <w:rPr>
          <w:b/>
          <w:sz w:val="24"/>
          <w:szCs w:val="24"/>
        </w:rPr>
        <w:t>income</w:t>
      </w:r>
      <w:r w:rsidR="002514B0">
        <w:rPr>
          <w:b/>
          <w:sz w:val="24"/>
          <w:szCs w:val="24"/>
        </w:rPr>
        <w:t xml:space="preserve"> </w:t>
      </w:r>
      <w:r w:rsidRPr="003C7F6D">
        <w:rPr>
          <w:b/>
          <w:sz w:val="24"/>
          <w:szCs w:val="24"/>
        </w:rPr>
        <w:t>will</w:t>
      </w:r>
      <w:r w:rsidR="002514B0">
        <w:rPr>
          <w:b/>
          <w:sz w:val="24"/>
          <w:szCs w:val="24"/>
        </w:rPr>
        <w:t xml:space="preserve"> </w:t>
      </w:r>
      <w:r w:rsidRPr="003C7F6D">
        <w:rPr>
          <w:b/>
          <w:sz w:val="24"/>
          <w:szCs w:val="24"/>
        </w:rPr>
        <w:t>come</w:t>
      </w:r>
      <w:r w:rsidR="002514B0">
        <w:rPr>
          <w:b/>
          <w:sz w:val="24"/>
          <w:szCs w:val="24"/>
        </w:rPr>
        <w:t xml:space="preserve"> </w:t>
      </w:r>
      <w:r w:rsidRPr="003C7F6D">
        <w:rPr>
          <w:b/>
          <w:sz w:val="24"/>
          <w:szCs w:val="24"/>
        </w:rPr>
        <w:t>from</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whether</w:t>
      </w:r>
      <w:r w:rsidR="002514B0">
        <w:rPr>
          <w:b/>
          <w:sz w:val="24"/>
          <w:szCs w:val="24"/>
        </w:rPr>
        <w:t xml:space="preserve"> </w:t>
      </w:r>
      <w:r w:rsidRPr="003C7F6D">
        <w:rPr>
          <w:b/>
          <w:sz w:val="24"/>
          <w:szCs w:val="24"/>
        </w:rPr>
        <w:t>paying</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customers</w:t>
      </w:r>
      <w:r w:rsidR="002514B0">
        <w:rPr>
          <w:b/>
          <w:sz w:val="24"/>
          <w:szCs w:val="24"/>
        </w:rPr>
        <w:t xml:space="preserve"> </w:t>
      </w:r>
      <w:r w:rsidRPr="003C7F6D">
        <w:rPr>
          <w:b/>
          <w:sz w:val="24"/>
          <w:szCs w:val="24"/>
        </w:rPr>
        <w:t>causes</w:t>
      </w:r>
      <w:r w:rsidR="002514B0">
        <w:rPr>
          <w:b/>
          <w:sz w:val="24"/>
          <w:szCs w:val="24"/>
        </w:rPr>
        <w:t xml:space="preserve"> </w:t>
      </w:r>
      <w:r w:rsidRPr="003C7F6D">
        <w:rPr>
          <w:b/>
          <w:sz w:val="24"/>
          <w:szCs w:val="24"/>
        </w:rPr>
        <w:t>rate</w:t>
      </w:r>
      <w:r w:rsidR="002514B0">
        <w:rPr>
          <w:b/>
          <w:sz w:val="24"/>
          <w:szCs w:val="24"/>
        </w:rPr>
        <w:t xml:space="preserve"> </w:t>
      </w:r>
      <w:r w:rsidRPr="003C7F6D">
        <w:rPr>
          <w:b/>
          <w:sz w:val="24"/>
          <w:szCs w:val="24"/>
        </w:rPr>
        <w:t>increases</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non-CLEP</w:t>
      </w:r>
      <w:r w:rsidR="002514B0">
        <w:rPr>
          <w:b/>
          <w:sz w:val="24"/>
          <w:szCs w:val="24"/>
        </w:rPr>
        <w:t xml:space="preserve"> </w:t>
      </w:r>
      <w:r w:rsidRPr="003C7F6D">
        <w:rPr>
          <w:b/>
          <w:sz w:val="24"/>
          <w:szCs w:val="24"/>
        </w:rPr>
        <w:t>customers”</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w:t>
      </w:r>
      <w:r w:rsidR="002514B0">
        <w:rPr>
          <w:b/>
          <w:sz w:val="24"/>
          <w:szCs w:val="24"/>
        </w:rPr>
        <w:t xml:space="preserve"> </w:t>
      </w:r>
      <w:r w:rsidRPr="003C7F6D">
        <w:rPr>
          <w:b/>
          <w:sz w:val="24"/>
          <w:szCs w:val="24"/>
        </w:rPr>
        <w:t>86.</w:t>
      </w:r>
      <w:r w:rsidR="002514B0">
        <w:rPr>
          <w:b/>
          <w:sz w:val="24"/>
          <w:szCs w:val="24"/>
        </w:rPr>
        <w:t xml:space="preserve"> </w:t>
      </w:r>
    </w:p>
    <w:p w14:paraId="4339D275" w14:textId="1FBE0E5B" w:rsidR="00511610" w:rsidRPr="003C7F6D" w:rsidRDefault="00511610" w:rsidP="003C6728">
      <w:pPr>
        <w:rPr>
          <w:rFonts w:cstheme="minorHAnsi"/>
          <w:sz w:val="24"/>
          <w:szCs w:val="24"/>
        </w:rPr>
      </w:pPr>
      <w:r w:rsidRPr="003C7F6D">
        <w:rPr>
          <w:b/>
          <w:sz w:val="24"/>
          <w:szCs w:val="24"/>
        </w:rPr>
        <w:lastRenderedPageBreak/>
        <w:t>A.</w:t>
      </w:r>
      <w:r w:rsidR="002514B0">
        <w:rPr>
          <w:sz w:val="24"/>
          <w:szCs w:val="24"/>
        </w:rPr>
        <w:t xml:space="preserve"> </w:t>
      </w:r>
      <w:r w:rsidRPr="003C7F6D">
        <w:rPr>
          <w:sz w:val="24"/>
          <w:szCs w:val="24"/>
        </w:rPr>
        <w:tab/>
        <w:t>BSI</w:t>
      </w:r>
      <w:r w:rsidR="002514B0">
        <w:rPr>
          <w:sz w:val="24"/>
          <w:szCs w:val="24"/>
        </w:rPr>
        <w:t xml:space="preserve"> </w:t>
      </w:r>
      <w:r w:rsidRPr="003C7F6D">
        <w:rPr>
          <w:sz w:val="24"/>
          <w:szCs w:val="24"/>
        </w:rPr>
        <w:t>notes</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neither</w:t>
      </w:r>
      <w:r w:rsidR="002514B0">
        <w:rPr>
          <w:sz w:val="24"/>
          <w:szCs w:val="24"/>
        </w:rPr>
        <w:t xml:space="preserve"> </w:t>
      </w:r>
      <w:r w:rsidRPr="003C7F6D">
        <w:rPr>
          <w:sz w:val="24"/>
          <w:szCs w:val="24"/>
        </w:rPr>
        <w:t>any</w:t>
      </w:r>
      <w:r w:rsidR="002514B0">
        <w:rPr>
          <w:sz w:val="24"/>
          <w:szCs w:val="24"/>
        </w:rPr>
        <w:t xml:space="preserve"> </w:t>
      </w:r>
      <w:r w:rsidRPr="003C7F6D">
        <w:rPr>
          <w:sz w:val="24"/>
          <w:szCs w:val="24"/>
        </w:rPr>
        <w:t>intervenor</w:t>
      </w:r>
      <w:r w:rsidR="002514B0">
        <w:rPr>
          <w:sz w:val="24"/>
          <w:szCs w:val="24"/>
        </w:rPr>
        <w:t xml:space="preserve"> </w:t>
      </w:r>
      <w:r w:rsidRPr="003C7F6D">
        <w:rPr>
          <w:sz w:val="24"/>
          <w:szCs w:val="24"/>
        </w:rPr>
        <w:t>nor</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Advisors</w:t>
      </w:r>
      <w:r w:rsidR="002514B0">
        <w:rPr>
          <w:sz w:val="24"/>
          <w:szCs w:val="24"/>
        </w:rPr>
        <w:t xml:space="preserve"> </w:t>
      </w:r>
      <w:r w:rsidRPr="003C7F6D">
        <w:rPr>
          <w:sz w:val="24"/>
          <w:szCs w:val="24"/>
        </w:rPr>
        <w:t>support</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assertion</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CLEP’s</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does</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explain</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well</w:t>
      </w:r>
      <w:r w:rsidR="002514B0">
        <w:rPr>
          <w:sz w:val="24"/>
          <w:szCs w:val="24"/>
        </w:rPr>
        <w:t xml:space="preserve"> </w:t>
      </w:r>
      <w:r w:rsidRPr="003C7F6D">
        <w:rPr>
          <w:sz w:val="24"/>
          <w:szCs w:val="24"/>
        </w:rPr>
        <w:t>enough</w:t>
      </w:r>
      <w:r w:rsidR="002514B0">
        <w:rPr>
          <w:sz w:val="24"/>
          <w:szCs w:val="24"/>
        </w:rPr>
        <w:t xml:space="preserve"> </w:t>
      </w:r>
      <w:r w:rsidRPr="003C7F6D">
        <w:rPr>
          <w:sz w:val="24"/>
          <w:szCs w:val="24"/>
        </w:rPr>
        <w:t>nor</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will</w:t>
      </w:r>
      <w:r w:rsidR="002514B0">
        <w:rPr>
          <w:sz w:val="24"/>
          <w:szCs w:val="24"/>
        </w:rPr>
        <w:t xml:space="preserve"> </w:t>
      </w:r>
      <w:r w:rsidRPr="003C7F6D">
        <w:rPr>
          <w:sz w:val="24"/>
          <w:szCs w:val="24"/>
        </w:rPr>
        <w:t>cause</w:t>
      </w:r>
      <w:r w:rsidR="002514B0">
        <w:rPr>
          <w:sz w:val="24"/>
          <w:szCs w:val="24"/>
        </w:rPr>
        <w:t xml:space="preserve"> </w:t>
      </w:r>
      <w:r w:rsidRPr="003C7F6D">
        <w:rPr>
          <w:sz w:val="24"/>
          <w:szCs w:val="24"/>
        </w:rPr>
        <w:t>rate</w:t>
      </w:r>
      <w:r w:rsidR="002514B0">
        <w:rPr>
          <w:sz w:val="24"/>
          <w:szCs w:val="24"/>
        </w:rPr>
        <w:t xml:space="preserve"> </w:t>
      </w:r>
      <w:r w:rsidRPr="003C7F6D">
        <w:rPr>
          <w:sz w:val="24"/>
          <w:szCs w:val="24"/>
        </w:rPr>
        <w:t>increases</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non-CLEP</w:t>
      </w:r>
      <w:r w:rsidR="002514B0">
        <w:rPr>
          <w:sz w:val="24"/>
          <w:szCs w:val="24"/>
        </w:rPr>
        <w:t xml:space="preserve"> </w:t>
      </w:r>
      <w:r w:rsidRPr="003C7F6D">
        <w:rPr>
          <w:sz w:val="24"/>
          <w:szCs w:val="24"/>
        </w:rPr>
        <w:t>customers.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fact,</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answer</w:t>
      </w:r>
      <w:r w:rsidR="002514B0">
        <w:rPr>
          <w:sz w:val="24"/>
          <w:szCs w:val="24"/>
        </w:rPr>
        <w:t xml:space="preserve"> </w:t>
      </w:r>
      <w:r w:rsidRPr="003C7F6D">
        <w:rPr>
          <w:sz w:val="24"/>
          <w:szCs w:val="24"/>
        </w:rPr>
        <w:t>to</w:t>
      </w:r>
      <w:r w:rsidR="002514B0">
        <w:rPr>
          <w:sz w:val="24"/>
          <w:szCs w:val="24"/>
        </w:rPr>
        <w:t xml:space="preserve"> </w:t>
      </w:r>
      <w:bookmarkStart w:id="117" w:name="_Toc536005949"/>
      <w:bookmarkStart w:id="118" w:name="_Toc536091571"/>
      <w:bookmarkStart w:id="119" w:name="_Toc536708885"/>
      <w:r w:rsidRPr="003C7F6D">
        <w:rPr>
          <w:sz w:val="24"/>
          <w:szCs w:val="24"/>
        </w:rPr>
        <w:t>Q11.</w:t>
      </w:r>
      <w:r w:rsidR="002514B0">
        <w:rPr>
          <w:sz w:val="24"/>
          <w:szCs w:val="24"/>
        </w:rPr>
        <w:t xml:space="preserve"> </w:t>
      </w:r>
      <w:r w:rsidRPr="003C7F6D">
        <w:rPr>
          <w:sz w:val="24"/>
          <w:szCs w:val="24"/>
        </w:rPr>
        <w:t>HOW</w:t>
      </w:r>
      <w:r w:rsidR="002514B0">
        <w:rPr>
          <w:sz w:val="24"/>
          <w:szCs w:val="24"/>
        </w:rPr>
        <w:t xml:space="preserve"> </w:t>
      </w:r>
      <w:r w:rsidRPr="003C7F6D">
        <w:rPr>
          <w:sz w:val="24"/>
          <w:szCs w:val="24"/>
        </w:rPr>
        <w:t>DOES</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LOWER</w:t>
      </w:r>
      <w:r w:rsidR="002514B0">
        <w:rPr>
          <w:sz w:val="24"/>
          <w:szCs w:val="24"/>
        </w:rPr>
        <w:t xml:space="preserve"> </w:t>
      </w:r>
      <w:r w:rsidRPr="003C7F6D">
        <w:rPr>
          <w:sz w:val="24"/>
          <w:szCs w:val="24"/>
        </w:rPr>
        <w:t>EVERYBODY'S</w:t>
      </w:r>
      <w:r w:rsidR="002514B0">
        <w:rPr>
          <w:sz w:val="24"/>
          <w:szCs w:val="24"/>
        </w:rPr>
        <w:t xml:space="preserve"> </w:t>
      </w:r>
      <w:r w:rsidRPr="003C7F6D">
        <w:rPr>
          <w:sz w:val="24"/>
          <w:szCs w:val="24"/>
        </w:rPr>
        <w:t>RATES?</w:t>
      </w:r>
      <w:bookmarkEnd w:id="117"/>
      <w:bookmarkEnd w:id="118"/>
      <w:bookmarkEnd w:id="119"/>
      <w:r w:rsidR="002514B0">
        <w:rPr>
          <w:sz w:val="24"/>
          <w:szCs w:val="24"/>
        </w:rPr>
        <w:t xml:space="preserve"> </w:t>
      </w:r>
      <w:r w:rsidRPr="003C7F6D">
        <w:rPr>
          <w:sz w:val="24"/>
          <w:szCs w:val="24"/>
        </w:rPr>
        <w:t>occupies</w:t>
      </w:r>
      <w:r w:rsidR="002514B0">
        <w:rPr>
          <w:sz w:val="24"/>
          <w:szCs w:val="24"/>
        </w:rPr>
        <w:t xml:space="preserve"> </w:t>
      </w:r>
      <w:r w:rsidRPr="003C7F6D">
        <w:rPr>
          <w:sz w:val="24"/>
          <w:szCs w:val="24"/>
        </w:rPr>
        <w:t>five</w:t>
      </w:r>
      <w:r w:rsidR="002514B0">
        <w:rPr>
          <w:sz w:val="24"/>
          <w:szCs w:val="24"/>
        </w:rPr>
        <w:t xml:space="preserve"> </w:t>
      </w:r>
      <w:r w:rsidRPr="003C7F6D">
        <w:rPr>
          <w:sz w:val="24"/>
          <w:szCs w:val="24"/>
        </w:rPr>
        <w:t>pages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from</w:t>
      </w:r>
      <w:r w:rsidR="002514B0">
        <w:rPr>
          <w:sz w:val="24"/>
          <w:szCs w:val="24"/>
        </w:rPr>
        <w:t xml:space="preserve"> </w:t>
      </w:r>
      <w:r w:rsidRPr="003C7F6D">
        <w:rPr>
          <w:sz w:val="24"/>
          <w:szCs w:val="24"/>
        </w:rPr>
        <w:t>pages</w:t>
      </w:r>
      <w:r w:rsidR="002514B0">
        <w:rPr>
          <w:sz w:val="24"/>
          <w:szCs w:val="24"/>
        </w:rPr>
        <w:t xml:space="preserve"> </w:t>
      </w:r>
      <w:r w:rsidRPr="003C7F6D">
        <w:rPr>
          <w:sz w:val="24"/>
          <w:szCs w:val="24"/>
        </w:rPr>
        <w:t>22</w:t>
      </w:r>
      <w:r w:rsidR="002514B0">
        <w:rPr>
          <w:sz w:val="24"/>
          <w:szCs w:val="24"/>
        </w:rPr>
        <w:t xml:space="preserve"> </w:t>
      </w:r>
      <w:r w:rsidRPr="003C7F6D">
        <w:rPr>
          <w:sz w:val="24"/>
          <w:szCs w:val="24"/>
        </w:rPr>
        <w:t>through</w:t>
      </w:r>
      <w:r w:rsidR="002514B0">
        <w:rPr>
          <w:sz w:val="24"/>
          <w:szCs w:val="24"/>
        </w:rPr>
        <w:t xml:space="preserve"> </w:t>
      </w:r>
      <w:r w:rsidRPr="003C7F6D">
        <w:rPr>
          <w:sz w:val="24"/>
          <w:szCs w:val="24"/>
        </w:rPr>
        <w:t>27.</w:t>
      </w:r>
    </w:p>
    <w:p w14:paraId="1C4BB749" w14:textId="77777777" w:rsidR="00511610" w:rsidRPr="003C7F6D" w:rsidRDefault="00511610" w:rsidP="003C6728">
      <w:pPr>
        <w:rPr>
          <w:sz w:val="24"/>
          <w:szCs w:val="24"/>
        </w:rPr>
      </w:pPr>
    </w:p>
    <w:p w14:paraId="1FC32AC3" w14:textId="6A40273D" w:rsidR="00511610" w:rsidRPr="003C7F6D" w:rsidRDefault="00511610" w:rsidP="003C6728">
      <w:pPr>
        <w:rPr>
          <w:b/>
          <w:sz w:val="24"/>
          <w:szCs w:val="24"/>
        </w:rPr>
      </w:pPr>
      <w:r w:rsidRPr="003C7F6D">
        <w:rPr>
          <w:b/>
          <w:sz w:val="24"/>
          <w:szCs w:val="24"/>
        </w:rPr>
        <w:t>Q4.</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CLEP’s</w:t>
      </w:r>
      <w:r w:rsidR="002514B0">
        <w:rPr>
          <w:b/>
          <w:sz w:val="24"/>
          <w:szCs w:val="24"/>
        </w:rPr>
        <w:t xml:space="preserve"> </w:t>
      </w:r>
      <w:r w:rsidRPr="003C7F6D">
        <w:rPr>
          <w:b/>
          <w:sz w:val="24"/>
          <w:szCs w:val="24"/>
        </w:rPr>
        <w:t>description</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2016</w:t>
      </w:r>
      <w:r w:rsidR="002514B0">
        <w:rPr>
          <w:b/>
          <w:sz w:val="24"/>
          <w:szCs w:val="24"/>
        </w:rPr>
        <w:t xml:space="preserve"> </w:t>
      </w:r>
      <w:r w:rsidRPr="003C7F6D">
        <w:rPr>
          <w:b/>
          <w:sz w:val="24"/>
          <w:szCs w:val="24"/>
        </w:rPr>
        <w:t>was</w:t>
      </w:r>
      <w:r w:rsidR="002514B0">
        <w:rPr>
          <w:b/>
          <w:sz w:val="24"/>
          <w:szCs w:val="24"/>
        </w:rPr>
        <w:t xml:space="preserve"> </w:t>
      </w:r>
      <w:r w:rsidRPr="003C7F6D">
        <w:rPr>
          <w:b/>
          <w:sz w:val="24"/>
          <w:szCs w:val="24"/>
        </w:rPr>
        <w:t>incoherent.</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w:t>
      </w:r>
      <w:r w:rsidR="002514B0">
        <w:rPr>
          <w:b/>
          <w:sz w:val="24"/>
          <w:szCs w:val="24"/>
        </w:rPr>
        <w:t xml:space="preserve"> </w:t>
      </w:r>
      <w:r w:rsidRPr="003C7F6D">
        <w:rPr>
          <w:b/>
          <w:sz w:val="24"/>
          <w:szCs w:val="24"/>
        </w:rPr>
        <w:t>88.</w:t>
      </w:r>
    </w:p>
    <w:p w14:paraId="1D4C3A02" w14:textId="04785405" w:rsidR="00511610" w:rsidRPr="003C7F6D" w:rsidRDefault="00511610" w:rsidP="003C6728">
      <w:r w:rsidRPr="003C7F6D">
        <w:rPr>
          <w:b/>
        </w:rPr>
        <w:t>A.</w:t>
      </w:r>
      <w:r w:rsidR="002514B0">
        <w:rPr>
          <w:b/>
        </w:rPr>
        <w:t xml:space="preserve"> </w:t>
      </w:r>
      <w:r w:rsidRPr="003C7F6D">
        <w:tab/>
        <w:t>Mr.</w:t>
      </w:r>
      <w:r w:rsidR="002514B0">
        <w:t xml:space="preserve"> </w:t>
      </w:r>
      <w:r w:rsidRPr="003C7F6D">
        <w:t>Owens</w:t>
      </w:r>
      <w:r w:rsidR="002514B0">
        <w:t xml:space="preserve"> </w:t>
      </w:r>
      <w:r w:rsidRPr="003C7F6D">
        <w:t>fails</w:t>
      </w:r>
      <w:r w:rsidR="002514B0">
        <w:t xml:space="preserve"> </w:t>
      </w:r>
      <w:r w:rsidRPr="003C7F6D">
        <w:t>to</w:t>
      </w:r>
      <w:r w:rsidR="002514B0">
        <w:t xml:space="preserve"> </w:t>
      </w:r>
      <w:r w:rsidRPr="003C7F6D">
        <w:t>identify</w:t>
      </w:r>
      <w:r w:rsidR="002514B0">
        <w:t xml:space="preserve"> </w:t>
      </w:r>
      <w:r w:rsidRPr="003C7F6D">
        <w:t>any</w:t>
      </w:r>
      <w:r w:rsidR="002514B0">
        <w:t xml:space="preserve"> </w:t>
      </w:r>
      <w:r w:rsidRPr="003C7F6D">
        <w:t>specific</w:t>
      </w:r>
      <w:r w:rsidR="002514B0">
        <w:t xml:space="preserve"> </w:t>
      </w:r>
      <w:r w:rsidRPr="003C7F6D">
        <w:t>problem</w:t>
      </w:r>
      <w:r w:rsidR="002514B0">
        <w:t xml:space="preserve"> </w:t>
      </w:r>
      <w:r w:rsidRPr="003C7F6D">
        <w:t>concerning</w:t>
      </w:r>
      <w:r w:rsidR="002514B0">
        <w:t xml:space="preserve"> </w:t>
      </w:r>
      <w:r w:rsidRPr="003C7F6D">
        <w:t>the</w:t>
      </w:r>
      <w:r w:rsidR="002514B0">
        <w:t xml:space="preserve"> </w:t>
      </w:r>
      <w:r w:rsidRPr="003C7F6D">
        <w:t>refined</w:t>
      </w:r>
      <w:r w:rsidR="002514B0">
        <w:t xml:space="preserve"> </w:t>
      </w:r>
      <w:r w:rsidRPr="003C7F6D">
        <w:t>version</w:t>
      </w:r>
      <w:r w:rsidR="002514B0">
        <w:t xml:space="preserve"> </w:t>
      </w:r>
      <w:r w:rsidRPr="003C7F6D">
        <w:t>of</w:t>
      </w:r>
      <w:r w:rsidR="002514B0">
        <w:t xml:space="preserve"> </w:t>
      </w:r>
      <w:r w:rsidRPr="003C7F6D">
        <w:t>CLEP</w:t>
      </w:r>
      <w:r w:rsidR="002514B0">
        <w:t xml:space="preserve"> </w:t>
      </w:r>
      <w:r w:rsidRPr="003C7F6D">
        <w:t>set</w:t>
      </w:r>
      <w:r w:rsidR="002514B0">
        <w:t xml:space="preserve"> </w:t>
      </w:r>
      <w:r w:rsidRPr="003C7F6D">
        <w:t>forth</w:t>
      </w:r>
      <w:r w:rsidR="002514B0">
        <w:t xml:space="preserve"> </w:t>
      </w:r>
      <w:r w:rsidRPr="003C7F6D">
        <w:t>in</w:t>
      </w:r>
      <w:r w:rsidR="002514B0">
        <w:t xml:space="preserve"> </w:t>
      </w:r>
      <w:r w:rsidRPr="003C7F6D">
        <w:t>BSI’s</w:t>
      </w:r>
      <w:r w:rsidR="002514B0">
        <w:t xml:space="preserve"> </w:t>
      </w:r>
      <w:r w:rsidRPr="003C7F6D">
        <w:t>February</w:t>
      </w:r>
      <w:r w:rsidR="002514B0">
        <w:t xml:space="preserve"> </w:t>
      </w:r>
      <w:r w:rsidRPr="003C7F6D">
        <w:t>1,</w:t>
      </w:r>
      <w:r w:rsidR="002514B0">
        <w:t xml:space="preserve"> </w:t>
      </w:r>
      <w:r w:rsidRPr="003C7F6D">
        <w:t>2019</w:t>
      </w:r>
      <w:r w:rsidR="002514B0">
        <w:t xml:space="preserve"> </w:t>
      </w:r>
      <w:r w:rsidRPr="003C7F6D">
        <w:t>testimony</w:t>
      </w:r>
      <w:r w:rsidR="002514B0">
        <w:t xml:space="preserve"> </w:t>
      </w:r>
      <w:r w:rsidRPr="003C7F6D">
        <w:t>and,</w:t>
      </w:r>
      <w:r w:rsidR="002514B0">
        <w:t xml:space="preserve"> </w:t>
      </w:r>
      <w:r w:rsidRPr="003C7F6D">
        <w:t>in</w:t>
      </w:r>
      <w:r w:rsidR="002514B0">
        <w:t xml:space="preserve"> </w:t>
      </w:r>
      <w:r w:rsidRPr="003C7F6D">
        <w:t>particular,</w:t>
      </w:r>
      <w:r w:rsidR="002514B0">
        <w:t xml:space="preserve"> </w:t>
      </w:r>
      <w:r w:rsidRPr="003C7F6D">
        <w:t>the</w:t>
      </w:r>
      <w:r w:rsidR="002514B0">
        <w:t xml:space="preserve"> </w:t>
      </w:r>
      <w:r w:rsidRPr="003C7F6D">
        <w:t>highly</w:t>
      </w:r>
      <w:r w:rsidR="002514B0">
        <w:t xml:space="preserve"> </w:t>
      </w:r>
      <w:r w:rsidRPr="003C7F6D">
        <w:t>detailed</w:t>
      </w:r>
      <w:r w:rsidR="002514B0">
        <w:t xml:space="preserve"> </w:t>
      </w:r>
      <w:r w:rsidRPr="003C7F6D">
        <w:t>answers</w:t>
      </w:r>
      <w:r w:rsidR="002514B0">
        <w:t xml:space="preserve"> </w:t>
      </w:r>
      <w:r w:rsidRPr="003C7F6D">
        <w:t>to</w:t>
      </w:r>
      <w:r w:rsidR="002514B0">
        <w:t xml:space="preserve"> </w:t>
      </w:r>
      <w:r w:rsidRPr="003C7F6D">
        <w:t>the</w:t>
      </w:r>
      <w:r w:rsidR="002514B0">
        <w:t xml:space="preserve"> </w:t>
      </w:r>
      <w:r w:rsidRPr="003C7F6D">
        <w:t>following</w:t>
      </w:r>
      <w:r w:rsidR="002514B0">
        <w:t xml:space="preserve"> </w:t>
      </w:r>
      <w:r w:rsidRPr="003C7F6D">
        <w:t>specific</w:t>
      </w:r>
      <w:r w:rsidR="002514B0">
        <w:t xml:space="preserve"> </w:t>
      </w:r>
      <w:r w:rsidRPr="003C7F6D">
        <w:t>questions:</w:t>
      </w:r>
      <w:r w:rsidR="002514B0">
        <w:t xml:space="preserve"> </w:t>
      </w:r>
    </w:p>
    <w:p w14:paraId="105A16ED" w14:textId="2F92B5C2" w:rsidR="00511610" w:rsidRPr="003C7F6D" w:rsidRDefault="00663379" w:rsidP="003C6728">
      <w:hyperlink w:anchor="_Toc536708882" w:history="1">
        <w:r w:rsidR="00511610" w:rsidRPr="003C7F6D">
          <w:t>Q8.</w:t>
        </w:r>
        <w:r w:rsidR="002514B0">
          <w:t xml:space="preserve"> </w:t>
        </w:r>
        <w:r w:rsidR="00511610" w:rsidRPr="003C7F6D">
          <w:tab/>
          <w:t>WHAT</w:t>
        </w:r>
        <w:r w:rsidR="002514B0">
          <w:t xml:space="preserve"> </w:t>
        </w:r>
        <w:r w:rsidR="00511610" w:rsidRPr="003C7F6D">
          <w:t>ARE</w:t>
        </w:r>
        <w:r w:rsidR="002514B0">
          <w:t xml:space="preserve"> </w:t>
        </w:r>
        <w:r w:rsidR="00511610" w:rsidRPr="003C7F6D">
          <w:t>THE</w:t>
        </w:r>
        <w:r w:rsidR="002514B0">
          <w:t xml:space="preserve"> </w:t>
        </w:r>
        <w:r w:rsidR="00511610" w:rsidRPr="003C7F6D">
          <w:t>UNDERLYING</w:t>
        </w:r>
        <w:r w:rsidR="002514B0">
          <w:t xml:space="preserve"> </w:t>
        </w:r>
        <w:r w:rsidR="00511610" w:rsidRPr="003C7F6D">
          <w:t>DEFINITIONS</w:t>
        </w:r>
        <w:r w:rsidR="002514B0">
          <w:t xml:space="preserve"> </w:t>
        </w:r>
        <w:r w:rsidR="00511610" w:rsidRPr="003C7F6D">
          <w:t>OF</w:t>
        </w:r>
        <w:r w:rsidR="002514B0">
          <w:t xml:space="preserve"> </w:t>
        </w:r>
        <w:r w:rsidR="00511610" w:rsidRPr="003C7F6D">
          <w:t>CLEP</w:t>
        </w:r>
        <w:r w:rsidR="002514B0">
          <w:t xml:space="preserve"> </w:t>
        </w:r>
        <w:r w:rsidR="00511610" w:rsidRPr="003C7F6D">
          <w:t>RATES?</w:t>
        </w:r>
        <w:r w:rsidR="00511610" w:rsidRPr="003C7F6D">
          <w:rPr>
            <w:webHidden/>
          </w:rPr>
          <w:tab/>
        </w:r>
      </w:hyperlink>
      <w:r w:rsidR="00511610" w:rsidRPr="003C7F6D">
        <w:t>11</w:t>
      </w:r>
    </w:p>
    <w:p w14:paraId="6B2E3E6A" w14:textId="42B9645E" w:rsidR="00511610" w:rsidRPr="003C7F6D" w:rsidRDefault="00663379" w:rsidP="003C6728">
      <w:hyperlink w:anchor="_Toc536708883" w:history="1">
        <w:r w:rsidR="00511610" w:rsidRPr="003C7F6D">
          <w:t>Q9.</w:t>
        </w:r>
        <w:r w:rsidR="002514B0">
          <w:t xml:space="preserve"> </w:t>
        </w:r>
        <w:r w:rsidR="00511610" w:rsidRPr="003C7F6D">
          <w:tab/>
          <w:t>WHAT</w:t>
        </w:r>
        <w:r w:rsidR="002514B0">
          <w:t xml:space="preserve"> </w:t>
        </w:r>
        <w:r w:rsidR="00511610" w:rsidRPr="003C7F6D">
          <w:t>ARE</w:t>
        </w:r>
        <w:r w:rsidR="002514B0">
          <w:t xml:space="preserve"> </w:t>
        </w:r>
        <w:r w:rsidR="00511610" w:rsidRPr="003C7F6D">
          <w:t>THE</w:t>
        </w:r>
        <w:r w:rsidR="002514B0">
          <w:t xml:space="preserve"> </w:t>
        </w:r>
        <w:r w:rsidR="00511610" w:rsidRPr="003C7F6D">
          <w:t>CLEP</w:t>
        </w:r>
        <w:r w:rsidR="002514B0">
          <w:t xml:space="preserve"> </w:t>
        </w:r>
        <w:r w:rsidR="00511610" w:rsidRPr="003C7F6D">
          <w:t>RATES</w:t>
        </w:r>
        <w:r w:rsidR="002514B0">
          <w:t xml:space="preserve"> </w:t>
        </w:r>
        <w:r w:rsidR="00511610" w:rsidRPr="003C7F6D">
          <w:t>YOU</w:t>
        </w:r>
        <w:r w:rsidR="002514B0">
          <w:t xml:space="preserve"> </w:t>
        </w:r>
        <w:r w:rsidR="00511610" w:rsidRPr="003C7F6D">
          <w:t>PROPOSE?</w:t>
        </w:r>
        <w:r w:rsidR="00511610" w:rsidRPr="003C7F6D">
          <w:rPr>
            <w:webHidden/>
          </w:rPr>
          <w:tab/>
        </w:r>
      </w:hyperlink>
      <w:r w:rsidR="00511610" w:rsidRPr="003C7F6D">
        <w:t>16</w:t>
      </w:r>
    </w:p>
    <w:p w14:paraId="681D4AD0" w14:textId="4C8EB9DC" w:rsidR="00511610" w:rsidRPr="003C7F6D" w:rsidRDefault="00663379" w:rsidP="003C6728">
      <w:hyperlink w:anchor="_Toc536708884" w:history="1">
        <w:r w:rsidR="00511610" w:rsidRPr="003C7F6D">
          <w:t>Q10.</w:t>
        </w:r>
        <w:r w:rsidR="002514B0">
          <w:t xml:space="preserve"> </w:t>
        </w:r>
        <w:r w:rsidR="00511610" w:rsidRPr="003C7F6D">
          <w:tab/>
          <w:t>HOW</w:t>
        </w:r>
        <w:r w:rsidR="002514B0">
          <w:t xml:space="preserve"> </w:t>
        </w:r>
        <w:r w:rsidR="00511610" w:rsidRPr="003C7F6D">
          <w:t>IS</w:t>
        </w:r>
        <w:r w:rsidR="002514B0">
          <w:t xml:space="preserve"> </w:t>
        </w:r>
        <w:r w:rsidR="00511610" w:rsidRPr="003C7F6D">
          <w:t>EACH</w:t>
        </w:r>
        <w:r w:rsidR="002514B0">
          <w:t xml:space="preserve"> </w:t>
        </w:r>
        <w:r w:rsidR="00511610" w:rsidRPr="003C7F6D">
          <w:t>CLEP</w:t>
        </w:r>
        <w:r w:rsidR="002514B0">
          <w:t xml:space="preserve"> </w:t>
        </w:r>
        <w:r w:rsidR="00511610" w:rsidRPr="003C7F6D">
          <w:t>RATE</w:t>
        </w:r>
        <w:r w:rsidR="002514B0">
          <w:t xml:space="preserve"> </w:t>
        </w:r>
        <w:r w:rsidR="00511610" w:rsidRPr="003C7F6D">
          <w:t>CALCULATED?</w:t>
        </w:r>
        <w:r w:rsidR="00511610" w:rsidRPr="003C7F6D">
          <w:rPr>
            <w:webHidden/>
          </w:rPr>
          <w:tab/>
          <w:t>19</w:t>
        </w:r>
      </w:hyperlink>
    </w:p>
    <w:p w14:paraId="46CBF364" w14:textId="372F9813" w:rsidR="00511610" w:rsidRPr="003C7F6D" w:rsidRDefault="00663379" w:rsidP="003C6728">
      <w:hyperlink w:anchor="_Toc536708885" w:history="1">
        <w:r w:rsidR="00511610" w:rsidRPr="003C7F6D">
          <w:t>Q11.</w:t>
        </w:r>
        <w:r w:rsidR="002514B0">
          <w:t xml:space="preserve"> </w:t>
        </w:r>
        <w:r w:rsidR="00511610" w:rsidRPr="003C7F6D">
          <w:tab/>
          <w:t>HOW</w:t>
        </w:r>
        <w:r w:rsidR="002514B0">
          <w:t xml:space="preserve"> </w:t>
        </w:r>
        <w:r w:rsidR="00511610" w:rsidRPr="003C7F6D">
          <w:t>DOES</w:t>
        </w:r>
        <w:r w:rsidR="002514B0">
          <w:t xml:space="preserve"> </w:t>
        </w:r>
        <w:r w:rsidR="00511610" w:rsidRPr="003C7F6D">
          <w:t>CLEP</w:t>
        </w:r>
        <w:r w:rsidR="002514B0">
          <w:t xml:space="preserve"> </w:t>
        </w:r>
        <w:r w:rsidR="00511610" w:rsidRPr="003C7F6D">
          <w:t>LOWER</w:t>
        </w:r>
        <w:r w:rsidR="002514B0">
          <w:t xml:space="preserve"> </w:t>
        </w:r>
        <w:r w:rsidR="00511610" w:rsidRPr="003C7F6D">
          <w:t>EVERYBODY'S</w:t>
        </w:r>
        <w:r w:rsidR="002514B0">
          <w:t xml:space="preserve"> </w:t>
        </w:r>
        <w:r w:rsidR="00511610" w:rsidRPr="003C7F6D">
          <w:t>RATES?</w:t>
        </w:r>
        <w:r w:rsidR="00511610" w:rsidRPr="003C7F6D">
          <w:rPr>
            <w:webHidden/>
          </w:rPr>
          <w:tab/>
          <w:t>22</w:t>
        </w:r>
      </w:hyperlink>
    </w:p>
    <w:p w14:paraId="19451766" w14:textId="645E2098" w:rsidR="00511610" w:rsidRPr="003C7F6D" w:rsidRDefault="00663379" w:rsidP="003C6728">
      <w:hyperlink w:anchor="_Toc536708886" w:history="1">
        <w:r w:rsidR="00511610" w:rsidRPr="003C7F6D">
          <w:t>Q12.</w:t>
        </w:r>
        <w:r w:rsidR="002514B0">
          <w:t xml:space="preserve"> </w:t>
        </w:r>
        <w:r w:rsidR="00511610" w:rsidRPr="003C7F6D">
          <w:tab/>
          <w:t>WHAT</w:t>
        </w:r>
        <w:r w:rsidR="002514B0">
          <w:t xml:space="preserve"> </w:t>
        </w:r>
        <w:r w:rsidR="00511610" w:rsidRPr="003C7F6D">
          <w:t>ARE</w:t>
        </w:r>
        <w:r w:rsidR="002514B0">
          <w:t xml:space="preserve"> </w:t>
        </w:r>
        <w:r w:rsidR="00511610" w:rsidRPr="003C7F6D">
          <w:t>ILLUSTRATIONS</w:t>
        </w:r>
        <w:r w:rsidR="002514B0">
          <w:t xml:space="preserve"> </w:t>
        </w:r>
        <w:r w:rsidR="00511610" w:rsidRPr="003C7F6D">
          <w:t>OF</w:t>
        </w:r>
        <w:r w:rsidR="002514B0">
          <w:t xml:space="preserve"> </w:t>
        </w:r>
        <w:r w:rsidR="00511610" w:rsidRPr="003C7F6D">
          <w:t>KEY</w:t>
        </w:r>
        <w:r w:rsidR="002514B0">
          <w:t xml:space="preserve"> </w:t>
        </w:r>
        <w:r w:rsidR="00511610" w:rsidRPr="003C7F6D">
          <w:t>CLEP</w:t>
        </w:r>
        <w:r w:rsidR="002514B0">
          <w:t xml:space="preserve"> </w:t>
        </w:r>
        <w:r w:rsidR="00511610" w:rsidRPr="003C7F6D">
          <w:t>APPLICATIONS?</w:t>
        </w:r>
        <w:r w:rsidR="00511610" w:rsidRPr="003C7F6D">
          <w:rPr>
            <w:webHidden/>
          </w:rPr>
          <w:tab/>
        </w:r>
      </w:hyperlink>
      <w:r w:rsidR="00511610" w:rsidRPr="003C7F6D">
        <w:t>27</w:t>
      </w:r>
    </w:p>
    <w:p w14:paraId="0A9F7641" w14:textId="77777777" w:rsidR="00511610" w:rsidRPr="003C7F6D" w:rsidRDefault="00511610" w:rsidP="003C6728">
      <w:pPr>
        <w:rPr>
          <w:sz w:val="24"/>
          <w:szCs w:val="24"/>
        </w:rPr>
      </w:pPr>
    </w:p>
    <w:p w14:paraId="2288590E" w14:textId="4392F8E8" w:rsidR="00511610" w:rsidRPr="003C7F6D" w:rsidRDefault="00511610" w:rsidP="003C6728">
      <w:pPr>
        <w:rPr>
          <w:b/>
          <w:sz w:val="24"/>
          <w:szCs w:val="24"/>
        </w:rPr>
      </w:pPr>
      <w:r w:rsidRPr="003C7F6D">
        <w:rPr>
          <w:b/>
          <w:sz w:val="24"/>
          <w:szCs w:val="24"/>
        </w:rPr>
        <w:t>Q5.</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“ENO</w:t>
      </w:r>
      <w:r w:rsidR="002514B0">
        <w:rPr>
          <w:b/>
          <w:sz w:val="24"/>
          <w:szCs w:val="24"/>
        </w:rPr>
        <w:t xml:space="preserve"> </w:t>
      </w:r>
      <w:r w:rsidRPr="003C7F6D">
        <w:rPr>
          <w:b/>
          <w:sz w:val="24"/>
          <w:szCs w:val="24"/>
        </w:rPr>
        <w:t>claimed</w:t>
      </w:r>
      <w:r w:rsidR="002514B0">
        <w:rPr>
          <w:b/>
          <w:sz w:val="24"/>
          <w:szCs w:val="24"/>
        </w:rPr>
        <w:t xml:space="preserve"> </w:t>
      </w:r>
      <w:r w:rsidRPr="003C7F6D">
        <w:rPr>
          <w:b/>
          <w:sz w:val="24"/>
          <w:szCs w:val="24"/>
        </w:rPr>
        <w:t>that</w:t>
      </w:r>
      <w:r w:rsidR="002514B0">
        <w:rPr>
          <w:b/>
          <w:sz w:val="24"/>
          <w:szCs w:val="24"/>
        </w:rPr>
        <w:t xml:space="preserve"> </w:t>
      </w:r>
      <w:r w:rsidRPr="003C7F6D">
        <w:rPr>
          <w:b/>
          <w:sz w:val="24"/>
          <w:szCs w:val="24"/>
        </w:rPr>
        <w:t>“CLEP’s</w:t>
      </w:r>
      <w:r w:rsidR="002514B0">
        <w:rPr>
          <w:b/>
          <w:sz w:val="24"/>
          <w:szCs w:val="24"/>
        </w:rPr>
        <w:t xml:space="preserve"> </w:t>
      </w:r>
      <w:r w:rsidRPr="003C7F6D">
        <w:rPr>
          <w:b/>
          <w:sz w:val="24"/>
          <w:szCs w:val="24"/>
        </w:rPr>
        <w:t>description</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2016</w:t>
      </w:r>
      <w:r w:rsidR="002514B0">
        <w:rPr>
          <w:b/>
          <w:sz w:val="24"/>
          <w:szCs w:val="24"/>
        </w:rPr>
        <w:t xml:space="preserve"> </w:t>
      </w:r>
      <w:r w:rsidRPr="003C7F6D">
        <w:rPr>
          <w:b/>
          <w:sz w:val="24"/>
          <w:szCs w:val="24"/>
        </w:rPr>
        <w:t>was</w:t>
      </w:r>
      <w:r w:rsidR="002514B0">
        <w:rPr>
          <w:b/>
          <w:sz w:val="24"/>
          <w:szCs w:val="24"/>
        </w:rPr>
        <w:t xml:space="preserve"> </w:t>
      </w:r>
      <w:r w:rsidRPr="003C7F6D">
        <w:rPr>
          <w:b/>
          <w:sz w:val="24"/>
          <w:szCs w:val="24"/>
        </w:rPr>
        <w:t>“based</w:t>
      </w:r>
      <w:r w:rsidR="002514B0">
        <w:rPr>
          <w:b/>
          <w:sz w:val="24"/>
          <w:szCs w:val="24"/>
        </w:rPr>
        <w:t xml:space="preserve"> </w:t>
      </w:r>
      <w:r w:rsidRPr="003C7F6D">
        <w:rPr>
          <w:b/>
          <w:sz w:val="24"/>
          <w:szCs w:val="24"/>
        </w:rPr>
        <w:t>upon</w:t>
      </w:r>
      <w:r w:rsidR="002514B0">
        <w:rPr>
          <w:b/>
          <w:sz w:val="24"/>
          <w:szCs w:val="24"/>
        </w:rPr>
        <w:t xml:space="preserve"> </w:t>
      </w:r>
      <w:r w:rsidRPr="003C7F6D">
        <w:rPr>
          <w:b/>
          <w:sz w:val="24"/>
          <w:szCs w:val="24"/>
        </w:rPr>
        <w:t>numerous</w:t>
      </w:r>
      <w:r w:rsidR="002514B0">
        <w:rPr>
          <w:b/>
          <w:sz w:val="24"/>
          <w:szCs w:val="24"/>
        </w:rPr>
        <w:t xml:space="preserve"> </w:t>
      </w:r>
      <w:r w:rsidRPr="003C7F6D">
        <w:rPr>
          <w:b/>
          <w:sz w:val="24"/>
          <w:szCs w:val="24"/>
        </w:rPr>
        <w:t>flawed</w:t>
      </w:r>
      <w:r w:rsidR="002514B0">
        <w:rPr>
          <w:b/>
          <w:sz w:val="24"/>
          <w:szCs w:val="24"/>
        </w:rPr>
        <w:t xml:space="preserve"> </w:t>
      </w:r>
      <w:r w:rsidRPr="003C7F6D">
        <w:rPr>
          <w:b/>
          <w:sz w:val="24"/>
          <w:szCs w:val="24"/>
        </w:rPr>
        <w:t>concepts</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unrealistic</w:t>
      </w:r>
      <w:r w:rsidR="002514B0">
        <w:rPr>
          <w:b/>
          <w:sz w:val="24"/>
          <w:szCs w:val="24"/>
        </w:rPr>
        <w:t xml:space="preserve"> </w:t>
      </w:r>
      <w:r w:rsidRPr="003C7F6D">
        <w:rPr>
          <w:b/>
          <w:sz w:val="24"/>
          <w:szCs w:val="24"/>
        </w:rPr>
        <w:t>assumptions.”</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“BSI</w:t>
      </w:r>
      <w:r w:rsidR="002514B0">
        <w:rPr>
          <w:b/>
          <w:sz w:val="24"/>
          <w:szCs w:val="24"/>
        </w:rPr>
        <w:t xml:space="preserve"> </w:t>
      </w:r>
      <w:r w:rsidRPr="003C7F6D">
        <w:rPr>
          <w:b/>
          <w:sz w:val="24"/>
          <w:szCs w:val="24"/>
        </w:rPr>
        <w:t>provides</w:t>
      </w:r>
      <w:r w:rsidR="002514B0">
        <w:rPr>
          <w:b/>
          <w:sz w:val="24"/>
          <w:szCs w:val="24"/>
        </w:rPr>
        <w:t xml:space="preserve"> </w:t>
      </w:r>
      <w:r w:rsidRPr="003C7F6D">
        <w:rPr>
          <w:b/>
          <w:sz w:val="24"/>
          <w:szCs w:val="24"/>
        </w:rPr>
        <w:t>no</w:t>
      </w:r>
      <w:r w:rsidR="002514B0">
        <w:rPr>
          <w:b/>
          <w:sz w:val="24"/>
          <w:szCs w:val="24"/>
        </w:rPr>
        <w:t xml:space="preserve"> </w:t>
      </w:r>
      <w:r w:rsidRPr="003C7F6D">
        <w:rPr>
          <w:b/>
          <w:sz w:val="24"/>
          <w:szCs w:val="24"/>
        </w:rPr>
        <w:t>rational</w:t>
      </w:r>
      <w:r w:rsidR="002514B0">
        <w:rPr>
          <w:b/>
          <w:sz w:val="24"/>
          <w:szCs w:val="24"/>
        </w:rPr>
        <w:t xml:space="preserve"> </w:t>
      </w:r>
      <w:r w:rsidRPr="003C7F6D">
        <w:rPr>
          <w:b/>
          <w:sz w:val="24"/>
          <w:szCs w:val="24"/>
        </w:rPr>
        <w:t>basis”</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key</w:t>
      </w:r>
      <w:r w:rsidR="002514B0">
        <w:rPr>
          <w:b/>
          <w:sz w:val="24"/>
          <w:szCs w:val="24"/>
        </w:rPr>
        <w:t xml:space="preserve"> </w:t>
      </w:r>
      <w:r w:rsidRPr="003C7F6D">
        <w:rPr>
          <w:b/>
          <w:sz w:val="24"/>
          <w:szCs w:val="24"/>
        </w:rPr>
        <w:t>assumptions</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assertions.</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w:t>
      </w:r>
      <w:r w:rsidR="002514B0">
        <w:rPr>
          <w:b/>
          <w:sz w:val="24"/>
          <w:szCs w:val="24"/>
        </w:rPr>
        <w:t xml:space="preserve"> </w:t>
      </w:r>
      <w:r w:rsidRPr="003C7F6D">
        <w:rPr>
          <w:b/>
          <w:sz w:val="24"/>
          <w:szCs w:val="24"/>
        </w:rPr>
        <w:t>90.</w:t>
      </w:r>
    </w:p>
    <w:p w14:paraId="63CD45D3" w14:textId="1287D044"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See</w:t>
      </w:r>
      <w:r w:rsidR="002514B0">
        <w:rPr>
          <w:sz w:val="24"/>
          <w:szCs w:val="24"/>
        </w:rPr>
        <w:t xml:space="preserve"> </w:t>
      </w:r>
      <w:r w:rsidRPr="003C7F6D">
        <w:rPr>
          <w:sz w:val="24"/>
          <w:szCs w:val="24"/>
        </w:rPr>
        <w:t>previous</w:t>
      </w:r>
      <w:r w:rsidR="002514B0">
        <w:rPr>
          <w:sz w:val="24"/>
          <w:szCs w:val="24"/>
        </w:rPr>
        <w:t xml:space="preserve"> </w:t>
      </w:r>
      <w:r w:rsidRPr="003C7F6D">
        <w:rPr>
          <w:sz w:val="24"/>
          <w:szCs w:val="24"/>
        </w:rPr>
        <w:t>answer.</w:t>
      </w:r>
    </w:p>
    <w:p w14:paraId="54FCA464" w14:textId="77777777" w:rsidR="00511610" w:rsidRPr="003C7F6D" w:rsidRDefault="00511610" w:rsidP="003C6728">
      <w:pPr>
        <w:rPr>
          <w:b/>
          <w:sz w:val="24"/>
          <w:szCs w:val="24"/>
        </w:rPr>
      </w:pPr>
    </w:p>
    <w:p w14:paraId="7B3B6A04" w14:textId="552D7155" w:rsidR="00511610" w:rsidRPr="003C7F6D" w:rsidRDefault="00511610" w:rsidP="003C6728">
      <w:pPr>
        <w:rPr>
          <w:b/>
          <w:sz w:val="24"/>
          <w:szCs w:val="24"/>
        </w:rPr>
      </w:pPr>
      <w:r w:rsidRPr="003C7F6D">
        <w:rPr>
          <w:b/>
          <w:sz w:val="24"/>
          <w:szCs w:val="24"/>
        </w:rPr>
        <w:t>Q6.</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too</w:t>
      </w:r>
      <w:r w:rsidR="002514B0">
        <w:rPr>
          <w:b/>
          <w:sz w:val="24"/>
          <w:szCs w:val="24"/>
        </w:rPr>
        <w:t xml:space="preserve"> </w:t>
      </w:r>
      <w:r w:rsidRPr="003C7F6D">
        <w:rPr>
          <w:b/>
          <w:sz w:val="24"/>
          <w:szCs w:val="24"/>
        </w:rPr>
        <w:t>complicated</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consumers</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understand…”</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w:t>
      </w:r>
      <w:r w:rsidR="002514B0">
        <w:rPr>
          <w:b/>
          <w:sz w:val="24"/>
          <w:szCs w:val="24"/>
        </w:rPr>
        <w:t xml:space="preserve"> </w:t>
      </w:r>
      <w:r w:rsidRPr="003C7F6D">
        <w:rPr>
          <w:b/>
          <w:sz w:val="24"/>
          <w:szCs w:val="24"/>
        </w:rPr>
        <w:t>91.</w:t>
      </w:r>
    </w:p>
    <w:p w14:paraId="315F058E" w14:textId="7D199FCB"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See</w:t>
      </w:r>
      <w:r w:rsidR="002514B0">
        <w:rPr>
          <w:sz w:val="24"/>
          <w:szCs w:val="24"/>
        </w:rPr>
        <w:t xml:space="preserve"> </w:t>
      </w:r>
      <w:r w:rsidRPr="003C7F6D">
        <w:rPr>
          <w:sz w:val="24"/>
          <w:szCs w:val="24"/>
        </w:rPr>
        <w:t>previous</w:t>
      </w:r>
      <w:r w:rsidR="002514B0">
        <w:rPr>
          <w:sz w:val="24"/>
          <w:szCs w:val="24"/>
        </w:rPr>
        <w:t xml:space="preserve"> </w:t>
      </w:r>
      <w:r w:rsidRPr="003C7F6D">
        <w:rPr>
          <w:sz w:val="24"/>
          <w:szCs w:val="24"/>
        </w:rPr>
        <w:t>two</w:t>
      </w:r>
      <w:r w:rsidR="002514B0">
        <w:rPr>
          <w:sz w:val="24"/>
          <w:szCs w:val="24"/>
        </w:rPr>
        <w:t xml:space="preserve"> </w:t>
      </w:r>
      <w:r w:rsidRPr="003C7F6D">
        <w:rPr>
          <w:sz w:val="24"/>
          <w:szCs w:val="24"/>
        </w:rPr>
        <w:t>answers.</w:t>
      </w:r>
    </w:p>
    <w:p w14:paraId="2564D3DB" w14:textId="77777777" w:rsidR="00511610" w:rsidRPr="003C7F6D" w:rsidRDefault="00511610" w:rsidP="003C6728">
      <w:pPr>
        <w:rPr>
          <w:b/>
          <w:sz w:val="24"/>
          <w:szCs w:val="24"/>
        </w:rPr>
      </w:pPr>
    </w:p>
    <w:p w14:paraId="28204609" w14:textId="1A3333FD" w:rsidR="00511610" w:rsidRPr="003C7F6D" w:rsidRDefault="00511610" w:rsidP="003C6728">
      <w:pPr>
        <w:rPr>
          <w:b/>
          <w:sz w:val="24"/>
          <w:szCs w:val="24"/>
        </w:rPr>
      </w:pPr>
      <w:r w:rsidRPr="003C7F6D">
        <w:rPr>
          <w:b/>
          <w:sz w:val="24"/>
          <w:szCs w:val="24"/>
        </w:rPr>
        <w:t>Q7.</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“BSI</w:t>
      </w:r>
      <w:r w:rsidR="002514B0">
        <w:rPr>
          <w:b/>
          <w:sz w:val="24"/>
          <w:szCs w:val="24"/>
        </w:rPr>
        <w:t xml:space="preserve"> </w:t>
      </w:r>
      <w:r w:rsidRPr="003C7F6D">
        <w:rPr>
          <w:b/>
          <w:sz w:val="24"/>
          <w:szCs w:val="24"/>
        </w:rPr>
        <w:t>makes</w:t>
      </w:r>
      <w:r w:rsidR="002514B0">
        <w:rPr>
          <w:b/>
          <w:sz w:val="24"/>
          <w:szCs w:val="24"/>
        </w:rPr>
        <w:t xml:space="preserve"> </w:t>
      </w:r>
      <w:r w:rsidRPr="003C7F6D">
        <w:rPr>
          <w:b/>
          <w:sz w:val="24"/>
          <w:szCs w:val="24"/>
        </w:rPr>
        <w:t>many</w:t>
      </w:r>
      <w:r w:rsidR="002514B0">
        <w:rPr>
          <w:b/>
          <w:sz w:val="24"/>
          <w:szCs w:val="24"/>
        </w:rPr>
        <w:t xml:space="preserve"> </w:t>
      </w:r>
      <w:r w:rsidRPr="003C7F6D">
        <w:rPr>
          <w:b/>
          <w:sz w:val="24"/>
          <w:szCs w:val="24"/>
        </w:rPr>
        <w:t>assertions</w:t>
      </w:r>
      <w:r w:rsidR="002514B0">
        <w:rPr>
          <w:b/>
          <w:sz w:val="24"/>
          <w:szCs w:val="24"/>
        </w:rPr>
        <w:t xml:space="preserve"> </w:t>
      </w:r>
      <w:r w:rsidRPr="003C7F6D">
        <w:rPr>
          <w:b/>
          <w:sz w:val="24"/>
          <w:szCs w:val="24"/>
        </w:rPr>
        <w:t>as</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costs,</w:t>
      </w:r>
      <w:r w:rsidR="002514B0">
        <w:rPr>
          <w:b/>
          <w:sz w:val="24"/>
          <w:szCs w:val="24"/>
        </w:rPr>
        <w:t xml:space="preserve"> </w:t>
      </w:r>
      <w:r w:rsidRPr="003C7F6D">
        <w:rPr>
          <w:b/>
          <w:sz w:val="24"/>
          <w:szCs w:val="24"/>
        </w:rPr>
        <w:t>capabilities</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potential</w:t>
      </w:r>
      <w:r w:rsidR="002514B0">
        <w:rPr>
          <w:b/>
          <w:sz w:val="24"/>
          <w:szCs w:val="24"/>
        </w:rPr>
        <w:t xml:space="preserve"> </w:t>
      </w:r>
      <w:r w:rsidRPr="003C7F6D">
        <w:rPr>
          <w:b/>
          <w:sz w:val="24"/>
          <w:szCs w:val="24"/>
        </w:rPr>
        <w:t>revenues</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a</w:t>
      </w:r>
      <w:r w:rsidR="002514B0">
        <w:rPr>
          <w:b/>
          <w:sz w:val="24"/>
          <w:szCs w:val="24"/>
        </w:rPr>
        <w:t xml:space="preserve"> </w:t>
      </w:r>
      <w:r w:rsidRPr="003C7F6D">
        <w:rPr>
          <w:b/>
          <w:sz w:val="24"/>
          <w:szCs w:val="24"/>
        </w:rPr>
        <w:t>community</w:t>
      </w:r>
      <w:r w:rsidR="002514B0">
        <w:rPr>
          <w:b/>
          <w:sz w:val="24"/>
          <w:szCs w:val="24"/>
        </w:rPr>
        <w:t xml:space="preserve"> </w:t>
      </w:r>
      <w:r w:rsidRPr="003C7F6D">
        <w:rPr>
          <w:b/>
          <w:sz w:val="24"/>
          <w:szCs w:val="24"/>
        </w:rPr>
        <w:t>solar</w:t>
      </w:r>
      <w:r w:rsidR="002514B0">
        <w:rPr>
          <w:b/>
          <w:sz w:val="24"/>
          <w:szCs w:val="24"/>
        </w:rPr>
        <w:t xml:space="preserve"> </w:t>
      </w:r>
      <w:r w:rsidRPr="003C7F6D">
        <w:rPr>
          <w:b/>
          <w:sz w:val="24"/>
          <w:szCs w:val="24"/>
        </w:rPr>
        <w:t>project,</w:t>
      </w:r>
      <w:r w:rsidR="002514B0">
        <w:rPr>
          <w:b/>
          <w:sz w:val="24"/>
          <w:szCs w:val="24"/>
        </w:rPr>
        <w:t xml:space="preserve"> </w:t>
      </w:r>
      <w:r w:rsidRPr="003C7F6D">
        <w:rPr>
          <w:b/>
          <w:sz w:val="24"/>
          <w:szCs w:val="24"/>
        </w:rPr>
        <w:t>but</w:t>
      </w:r>
      <w:r w:rsidR="002514B0">
        <w:rPr>
          <w:b/>
          <w:sz w:val="24"/>
          <w:szCs w:val="24"/>
        </w:rPr>
        <w:t xml:space="preserve"> </w:t>
      </w:r>
      <w:r w:rsidRPr="003C7F6D">
        <w:rPr>
          <w:b/>
          <w:sz w:val="24"/>
          <w:szCs w:val="24"/>
        </w:rPr>
        <w:t>does</w:t>
      </w:r>
      <w:r w:rsidR="002514B0">
        <w:rPr>
          <w:b/>
          <w:sz w:val="24"/>
          <w:szCs w:val="24"/>
        </w:rPr>
        <w:t xml:space="preserve"> </w:t>
      </w:r>
      <w:r w:rsidRPr="003C7F6D">
        <w:rPr>
          <w:b/>
          <w:sz w:val="24"/>
          <w:szCs w:val="24"/>
        </w:rPr>
        <w:t>not</w:t>
      </w:r>
      <w:r w:rsidR="002514B0">
        <w:rPr>
          <w:b/>
          <w:sz w:val="24"/>
          <w:szCs w:val="24"/>
        </w:rPr>
        <w:t xml:space="preserve"> </w:t>
      </w:r>
      <w:r w:rsidRPr="003C7F6D">
        <w:rPr>
          <w:b/>
          <w:sz w:val="24"/>
          <w:szCs w:val="24"/>
        </w:rPr>
        <w:t>offer</w:t>
      </w:r>
      <w:r w:rsidR="002514B0">
        <w:rPr>
          <w:b/>
          <w:sz w:val="24"/>
          <w:szCs w:val="24"/>
        </w:rPr>
        <w:t xml:space="preserve"> </w:t>
      </w:r>
      <w:r w:rsidRPr="003C7F6D">
        <w:rPr>
          <w:b/>
          <w:sz w:val="24"/>
          <w:szCs w:val="24"/>
        </w:rPr>
        <w:t>any</w:t>
      </w:r>
      <w:r w:rsidR="002514B0">
        <w:rPr>
          <w:b/>
          <w:sz w:val="24"/>
          <w:szCs w:val="24"/>
        </w:rPr>
        <w:t xml:space="preserve"> </w:t>
      </w:r>
      <w:r w:rsidRPr="003C7F6D">
        <w:rPr>
          <w:b/>
          <w:sz w:val="24"/>
          <w:szCs w:val="24"/>
        </w:rPr>
        <w:t>analysis,</w:t>
      </w:r>
      <w:r w:rsidR="002514B0">
        <w:rPr>
          <w:b/>
          <w:sz w:val="24"/>
          <w:szCs w:val="24"/>
        </w:rPr>
        <w:t xml:space="preserve"> </w:t>
      </w:r>
      <w:r w:rsidRPr="003C7F6D">
        <w:rPr>
          <w:b/>
          <w:sz w:val="24"/>
          <w:szCs w:val="24"/>
        </w:rPr>
        <w:t>testimony</w:t>
      </w:r>
      <w:r w:rsidR="002514B0">
        <w:rPr>
          <w:b/>
          <w:sz w:val="24"/>
          <w:szCs w:val="24"/>
        </w:rPr>
        <w:t xml:space="preserve"> </w:t>
      </w:r>
      <w:r w:rsidRPr="003C7F6D">
        <w:rPr>
          <w:b/>
          <w:sz w:val="24"/>
          <w:szCs w:val="24"/>
        </w:rPr>
        <w:t>or</w:t>
      </w:r>
      <w:r w:rsidR="002514B0">
        <w:rPr>
          <w:b/>
          <w:sz w:val="24"/>
          <w:szCs w:val="24"/>
        </w:rPr>
        <w:t xml:space="preserve"> </w:t>
      </w:r>
      <w:r w:rsidRPr="003C7F6D">
        <w:rPr>
          <w:b/>
          <w:sz w:val="24"/>
          <w:szCs w:val="24"/>
        </w:rPr>
        <w:t>evidence</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support</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its</w:t>
      </w:r>
      <w:r w:rsidR="002514B0">
        <w:rPr>
          <w:b/>
          <w:sz w:val="24"/>
          <w:szCs w:val="24"/>
        </w:rPr>
        <w:t xml:space="preserve"> </w:t>
      </w:r>
      <w:r w:rsidRPr="003C7F6D">
        <w:rPr>
          <w:b/>
          <w:sz w:val="24"/>
          <w:szCs w:val="24"/>
        </w:rPr>
        <w:t>assertions.”</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p.93.</w:t>
      </w:r>
    </w:p>
    <w:p w14:paraId="792B9A10" w14:textId="2915BAD7"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See</w:t>
      </w:r>
      <w:r w:rsidR="002514B0">
        <w:rPr>
          <w:sz w:val="24"/>
          <w:szCs w:val="24"/>
        </w:rPr>
        <w:t xml:space="preserve"> </w:t>
      </w:r>
      <w:r w:rsidRPr="003C7F6D">
        <w:rPr>
          <w:sz w:val="24"/>
          <w:szCs w:val="24"/>
        </w:rPr>
        <w:t>previous</w:t>
      </w:r>
      <w:r w:rsidR="002514B0">
        <w:rPr>
          <w:sz w:val="24"/>
          <w:szCs w:val="24"/>
        </w:rPr>
        <w:t xml:space="preserve"> </w:t>
      </w:r>
      <w:r w:rsidRPr="003C7F6D">
        <w:rPr>
          <w:sz w:val="24"/>
          <w:szCs w:val="24"/>
        </w:rPr>
        <w:t>three</w:t>
      </w:r>
      <w:r w:rsidR="002514B0">
        <w:rPr>
          <w:sz w:val="24"/>
          <w:szCs w:val="24"/>
        </w:rPr>
        <w:t xml:space="preserve"> </w:t>
      </w:r>
      <w:r w:rsidRPr="003C7F6D">
        <w:rPr>
          <w:sz w:val="24"/>
          <w:szCs w:val="24"/>
        </w:rPr>
        <w:t>answers.</w:t>
      </w:r>
    </w:p>
    <w:p w14:paraId="18C24D01" w14:textId="77777777" w:rsidR="00511610" w:rsidRPr="003C7F6D" w:rsidRDefault="00511610" w:rsidP="003C6728">
      <w:pPr>
        <w:rPr>
          <w:sz w:val="24"/>
          <w:szCs w:val="24"/>
        </w:rPr>
      </w:pPr>
    </w:p>
    <w:p w14:paraId="7110D622" w14:textId="145C1178" w:rsidR="00511610" w:rsidRPr="003C7F6D" w:rsidRDefault="00511610" w:rsidP="003C6728">
      <w:pPr>
        <w:rPr>
          <w:b/>
          <w:sz w:val="24"/>
          <w:szCs w:val="24"/>
        </w:rPr>
      </w:pPr>
      <w:r w:rsidRPr="003C7F6D">
        <w:rPr>
          <w:b/>
          <w:sz w:val="24"/>
          <w:szCs w:val="24"/>
        </w:rPr>
        <w:t>Q8.</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inappropriately</w:t>
      </w:r>
      <w:r w:rsidR="002514B0">
        <w:rPr>
          <w:b/>
          <w:sz w:val="24"/>
          <w:szCs w:val="24"/>
        </w:rPr>
        <w:t xml:space="preserve"> </w:t>
      </w:r>
      <w:r w:rsidRPr="003C7F6D">
        <w:rPr>
          <w:b/>
          <w:sz w:val="24"/>
          <w:szCs w:val="24"/>
        </w:rPr>
        <w:t>didn’t</w:t>
      </w:r>
      <w:r w:rsidR="002514B0">
        <w:rPr>
          <w:b/>
          <w:sz w:val="24"/>
          <w:szCs w:val="24"/>
        </w:rPr>
        <w:t xml:space="preserve"> </w:t>
      </w:r>
      <w:r w:rsidRPr="003C7F6D">
        <w:rPr>
          <w:b/>
          <w:sz w:val="24"/>
          <w:szCs w:val="24"/>
        </w:rPr>
        <w:t>adhere</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requirements</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No.</w:t>
      </w:r>
      <w:r w:rsidR="002514B0">
        <w:rPr>
          <w:b/>
          <w:sz w:val="24"/>
          <w:szCs w:val="24"/>
        </w:rPr>
        <w:t xml:space="preserve"> </w:t>
      </w:r>
      <w:r w:rsidRPr="003C7F6D">
        <w:rPr>
          <w:b/>
          <w:sz w:val="24"/>
          <w:szCs w:val="24"/>
        </w:rPr>
        <w:t>R-15-140</w:t>
      </w:r>
      <w:r w:rsidR="002514B0">
        <w:rPr>
          <w:b/>
          <w:sz w:val="24"/>
          <w:szCs w:val="24"/>
        </w:rPr>
        <w:t xml:space="preserve"> </w:t>
      </w:r>
      <w:r w:rsidRPr="003C7F6D">
        <w:rPr>
          <w:b/>
          <w:sz w:val="24"/>
          <w:szCs w:val="24"/>
        </w:rPr>
        <w:t>or</w:t>
      </w:r>
      <w:r w:rsidR="002514B0">
        <w:rPr>
          <w:b/>
          <w:sz w:val="24"/>
          <w:szCs w:val="24"/>
        </w:rPr>
        <w:t xml:space="preserve"> </w:t>
      </w:r>
      <w:r w:rsidRPr="003C7F6D">
        <w:rPr>
          <w:b/>
          <w:sz w:val="24"/>
          <w:szCs w:val="24"/>
        </w:rPr>
        <w:t>R-16-106,</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first</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which</w:t>
      </w:r>
      <w:r w:rsidR="002514B0">
        <w:rPr>
          <w:b/>
          <w:sz w:val="24"/>
          <w:szCs w:val="24"/>
        </w:rPr>
        <w:t xml:space="preserve"> </w:t>
      </w:r>
      <w:r w:rsidRPr="003C7F6D">
        <w:rPr>
          <w:b/>
          <w:sz w:val="24"/>
          <w:szCs w:val="24"/>
        </w:rPr>
        <w:t>sets</w:t>
      </w:r>
      <w:r w:rsidR="002514B0">
        <w:rPr>
          <w:b/>
          <w:sz w:val="24"/>
          <w:szCs w:val="24"/>
        </w:rPr>
        <w:t xml:space="preserve"> </w:t>
      </w:r>
      <w:r w:rsidRPr="003C7F6D">
        <w:rPr>
          <w:b/>
          <w:sz w:val="24"/>
          <w:szCs w:val="24"/>
        </w:rPr>
        <w:t>requirements</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Pilot</w:t>
      </w:r>
      <w:r w:rsidR="002514B0">
        <w:rPr>
          <w:b/>
          <w:sz w:val="24"/>
          <w:szCs w:val="24"/>
        </w:rPr>
        <w:t xml:space="preserve"> </w:t>
      </w:r>
      <w:r w:rsidRPr="003C7F6D">
        <w:rPr>
          <w:b/>
          <w:sz w:val="24"/>
          <w:szCs w:val="24"/>
        </w:rPr>
        <w:t>proposals.”</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w:t>
      </w:r>
      <w:r w:rsidR="002514B0">
        <w:rPr>
          <w:b/>
          <w:sz w:val="24"/>
          <w:szCs w:val="24"/>
        </w:rPr>
        <w:t xml:space="preserve"> </w:t>
      </w:r>
      <w:r w:rsidRPr="003C7F6D">
        <w:rPr>
          <w:b/>
          <w:sz w:val="24"/>
          <w:szCs w:val="24"/>
        </w:rPr>
        <w:t>90’</w:t>
      </w:r>
    </w:p>
    <w:p w14:paraId="2DF3CE17" w14:textId="39C16A03" w:rsidR="00511610" w:rsidRPr="003C7F6D" w:rsidRDefault="00511610" w:rsidP="003C6728">
      <w:pPr>
        <w:rPr>
          <w:sz w:val="24"/>
          <w:szCs w:val="24"/>
        </w:rPr>
      </w:pPr>
      <w:r w:rsidRPr="003C7F6D">
        <w:rPr>
          <w:b/>
          <w:sz w:val="24"/>
          <w:szCs w:val="24"/>
        </w:rPr>
        <w:t>A.</w:t>
      </w:r>
      <w:r w:rsidR="002514B0">
        <w:rPr>
          <w:b/>
          <w:sz w:val="24"/>
          <w:szCs w:val="24"/>
        </w:rPr>
        <w:t xml:space="preserve"> </w:t>
      </w:r>
      <w:r w:rsidRPr="003C7F6D">
        <w:rPr>
          <w:sz w:val="24"/>
          <w:szCs w:val="24"/>
        </w:rPr>
        <w:tab/>
        <w:t>On</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fundamental</w:t>
      </w:r>
      <w:r w:rsidR="002514B0">
        <w:rPr>
          <w:sz w:val="24"/>
          <w:szCs w:val="24"/>
        </w:rPr>
        <w:t xml:space="preserve"> </w:t>
      </w:r>
      <w:r w:rsidRPr="003C7F6D">
        <w:rPr>
          <w:sz w:val="24"/>
          <w:szCs w:val="24"/>
        </w:rPr>
        <w:t>level,</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sz w:val="24"/>
          <w:szCs w:val="24"/>
        </w:rPr>
        <w:t xml:space="preserve"> </w:t>
      </w:r>
      <w:r w:rsidRPr="003C7F6D">
        <w:rPr>
          <w:sz w:val="24"/>
          <w:szCs w:val="24"/>
        </w:rPr>
        <w:t>fails</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note</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essential</w:t>
      </w:r>
      <w:r w:rsidR="002514B0">
        <w:rPr>
          <w:sz w:val="24"/>
          <w:szCs w:val="24"/>
        </w:rPr>
        <w:t xml:space="preserve"> </w:t>
      </w:r>
      <w:r w:rsidRPr="003C7F6D">
        <w:rPr>
          <w:sz w:val="24"/>
          <w:szCs w:val="24"/>
        </w:rPr>
        <w:t>fact</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what</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proposed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within</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Docket</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UD-08-02</w:t>
      </w:r>
      <w:r w:rsidR="002514B0">
        <w:rPr>
          <w:sz w:val="24"/>
          <w:szCs w:val="24"/>
        </w:rPr>
        <w:t xml:space="preserve"> </w:t>
      </w:r>
      <w:r w:rsidRPr="003C7F6D">
        <w:rPr>
          <w:sz w:val="24"/>
          <w:szCs w:val="24"/>
        </w:rPr>
        <w:t>were</w:t>
      </w:r>
      <w:r w:rsidR="002514B0">
        <w:rPr>
          <w:sz w:val="24"/>
          <w:szCs w:val="24"/>
        </w:rPr>
        <w:t xml:space="preserve"> </w:t>
      </w:r>
      <w:r w:rsidRPr="003C7F6D">
        <w:rPr>
          <w:sz w:val="24"/>
          <w:szCs w:val="24"/>
        </w:rPr>
        <w:t>three</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programs</w:t>
      </w:r>
      <w:r w:rsidR="002514B0">
        <w:rPr>
          <w:sz w:val="24"/>
          <w:szCs w:val="24"/>
        </w:rPr>
        <w:t xml:space="preserve"> </w:t>
      </w:r>
      <w:r w:rsidRPr="003C7F6D">
        <w:rPr>
          <w:sz w:val="24"/>
          <w:szCs w:val="24"/>
        </w:rPr>
        <w:t>whereas</w:t>
      </w:r>
      <w:r w:rsidR="002514B0">
        <w:rPr>
          <w:sz w:val="24"/>
          <w:szCs w:val="24"/>
        </w:rPr>
        <w:t xml:space="preserve"> </w:t>
      </w:r>
      <w:r w:rsidRPr="003C7F6D">
        <w:rPr>
          <w:sz w:val="24"/>
          <w:szCs w:val="24"/>
        </w:rPr>
        <w:t>what</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proposing</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current</w:t>
      </w:r>
      <w:r w:rsidR="002514B0">
        <w:rPr>
          <w:sz w:val="24"/>
          <w:szCs w:val="24"/>
        </w:rPr>
        <w:t xml:space="preserve"> </w:t>
      </w:r>
      <w:r w:rsidRPr="003C7F6D">
        <w:rPr>
          <w:sz w:val="24"/>
          <w:szCs w:val="24"/>
        </w:rPr>
        <w:t>docket</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an</w:t>
      </w:r>
      <w:r w:rsidR="002514B0">
        <w:rPr>
          <w:sz w:val="24"/>
          <w:szCs w:val="24"/>
        </w:rPr>
        <w:t xml:space="preserve"> </w:t>
      </w:r>
      <w:r w:rsidRPr="003C7F6D">
        <w:rPr>
          <w:sz w:val="24"/>
          <w:szCs w:val="24"/>
        </w:rPr>
        <w:t>optional</w:t>
      </w:r>
      <w:r w:rsidR="002514B0">
        <w:rPr>
          <w:sz w:val="24"/>
          <w:szCs w:val="24"/>
        </w:rPr>
        <w:t xml:space="preserve"> </w:t>
      </w:r>
      <w:r w:rsidRPr="003C7F6D">
        <w:rPr>
          <w:sz w:val="24"/>
          <w:szCs w:val="24"/>
        </w:rPr>
        <w:t>rate</w:t>
      </w:r>
      <w:r w:rsidR="002514B0">
        <w:rPr>
          <w:sz w:val="24"/>
          <w:szCs w:val="24"/>
        </w:rPr>
        <w:t xml:space="preserve"> </w:t>
      </w:r>
      <w:r w:rsidRPr="003C7F6D">
        <w:rPr>
          <w:sz w:val="24"/>
          <w:szCs w:val="24"/>
        </w:rPr>
        <w:t>tariff</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any</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customer</w:t>
      </w:r>
      <w:r w:rsidR="002514B0">
        <w:rPr>
          <w:sz w:val="24"/>
          <w:szCs w:val="24"/>
        </w:rPr>
        <w:t xml:space="preserve"> </w:t>
      </w:r>
      <w:r w:rsidRPr="003C7F6D">
        <w:rPr>
          <w:sz w:val="24"/>
          <w:szCs w:val="24"/>
        </w:rPr>
        <w:t>may</w:t>
      </w:r>
      <w:r w:rsidR="002514B0">
        <w:rPr>
          <w:sz w:val="24"/>
          <w:szCs w:val="24"/>
        </w:rPr>
        <w:t xml:space="preserve"> </w:t>
      </w:r>
      <w:r w:rsidRPr="003C7F6D">
        <w:rPr>
          <w:sz w:val="24"/>
          <w:szCs w:val="24"/>
        </w:rPr>
        <w:t>choose</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utilize.</w:t>
      </w:r>
      <w:r w:rsidR="002514B0">
        <w:rPr>
          <w:sz w:val="24"/>
          <w:szCs w:val="24"/>
        </w:rPr>
        <w:t xml:space="preserve"> </w:t>
      </w:r>
      <w:r w:rsidRPr="003C7F6D">
        <w:rPr>
          <w:sz w:val="24"/>
          <w:szCs w:val="24"/>
        </w:rPr>
        <w:t>Because</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proposing</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docket,</w:t>
      </w:r>
      <w:r w:rsidR="002514B0">
        <w:rPr>
          <w:sz w:val="24"/>
          <w:szCs w:val="24"/>
        </w:rPr>
        <w:t xml:space="preserve"> </w:t>
      </w:r>
      <w:r w:rsidRPr="003C7F6D">
        <w:rPr>
          <w:sz w:val="24"/>
          <w:szCs w:val="24"/>
        </w:rPr>
        <w:t>ENO’s</w:t>
      </w:r>
      <w:r w:rsidR="002514B0">
        <w:rPr>
          <w:sz w:val="24"/>
          <w:szCs w:val="24"/>
        </w:rPr>
        <w:t xml:space="preserve"> </w:t>
      </w:r>
      <w:r w:rsidRPr="003C7F6D">
        <w:rPr>
          <w:sz w:val="24"/>
          <w:szCs w:val="24"/>
        </w:rPr>
        <w:t>objections</w:t>
      </w:r>
      <w:r w:rsidR="002514B0">
        <w:rPr>
          <w:sz w:val="24"/>
          <w:szCs w:val="24"/>
        </w:rPr>
        <w:t xml:space="preserve"> </w:t>
      </w:r>
      <w:r w:rsidRPr="003C7F6D">
        <w:rPr>
          <w:sz w:val="24"/>
          <w:szCs w:val="24"/>
        </w:rPr>
        <w:t>noted</w:t>
      </w:r>
      <w:r w:rsidR="002514B0">
        <w:rPr>
          <w:sz w:val="24"/>
          <w:szCs w:val="24"/>
        </w:rPr>
        <w:t xml:space="preserve"> </w:t>
      </w:r>
      <w:r w:rsidRPr="003C7F6D">
        <w:rPr>
          <w:sz w:val="24"/>
          <w:szCs w:val="24"/>
        </w:rPr>
        <w:t>in</w:t>
      </w:r>
      <w:r w:rsidR="002514B0">
        <w:t xml:space="preserve"> </w:t>
      </w:r>
      <w:r w:rsidRPr="003C7F6D">
        <w:rPr>
          <w:sz w:val="24"/>
          <w:szCs w:val="24"/>
        </w:rPr>
        <w:t>Council</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R-17-100</w:t>
      </w:r>
      <w:r w:rsidR="002514B0">
        <w:rPr>
          <w:sz w:val="24"/>
          <w:szCs w:val="24"/>
        </w:rPr>
        <w:t xml:space="preserve"> </w:t>
      </w:r>
      <w:r w:rsidRPr="003C7F6D">
        <w:rPr>
          <w:sz w:val="24"/>
          <w:szCs w:val="24"/>
        </w:rPr>
        <w:t>at</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top</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90</w:t>
      </w:r>
      <w:r w:rsidR="002514B0">
        <w:rPr>
          <w:sz w:val="24"/>
          <w:szCs w:val="24"/>
        </w:rPr>
        <w:t xml:space="preserve"> </w:t>
      </w:r>
      <w:r w:rsidRPr="003C7F6D">
        <w:rPr>
          <w:sz w:val="24"/>
          <w:szCs w:val="24"/>
        </w:rPr>
        <w:t>2</w:t>
      </w:r>
      <w:r w:rsidRPr="003C7F6D">
        <w:rPr>
          <w:sz w:val="24"/>
          <w:szCs w:val="24"/>
          <w:vertAlign w:val="superscript"/>
        </w:rPr>
        <w:t>nd</w:t>
      </w:r>
      <w:r w:rsidR="002514B0">
        <w:rPr>
          <w:sz w:val="24"/>
          <w:szCs w:val="24"/>
        </w:rPr>
        <w:t xml:space="preserve"> </w:t>
      </w:r>
      <w:r w:rsidRPr="003C7F6D">
        <w:rPr>
          <w:sz w:val="24"/>
          <w:szCs w:val="24"/>
        </w:rPr>
        <w:t>paragraph,</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Advisors’</w:t>
      </w:r>
      <w:r w:rsidR="002514B0">
        <w:rPr>
          <w:sz w:val="24"/>
          <w:szCs w:val="24"/>
        </w:rPr>
        <w:t xml:space="preserve"> </w:t>
      </w:r>
      <w:r w:rsidRPr="003C7F6D">
        <w:rPr>
          <w:sz w:val="24"/>
          <w:szCs w:val="24"/>
        </w:rPr>
        <w:t>objections</w:t>
      </w:r>
      <w:r w:rsidR="002514B0">
        <w:rPr>
          <w:sz w:val="24"/>
          <w:szCs w:val="24"/>
        </w:rPr>
        <w:t xml:space="preserve"> </w:t>
      </w:r>
      <w:r w:rsidRPr="003C7F6D">
        <w:rPr>
          <w:sz w:val="24"/>
          <w:szCs w:val="24"/>
        </w:rPr>
        <w:t>noted</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90</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middle</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91</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failed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comply</w:t>
      </w:r>
      <w:r w:rsidR="002514B0">
        <w:rPr>
          <w:sz w:val="24"/>
          <w:szCs w:val="24"/>
        </w:rPr>
        <w:t xml:space="preserve"> </w:t>
      </w:r>
      <w:r w:rsidRPr="003C7F6D">
        <w:rPr>
          <w:sz w:val="24"/>
          <w:szCs w:val="24"/>
        </w:rPr>
        <w:t>with</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requirements</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establishing</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w:t>
      </w:r>
      <w:r w:rsidR="002514B0">
        <w:rPr>
          <w:sz w:val="24"/>
          <w:szCs w:val="24"/>
        </w:rPr>
        <w:t xml:space="preserve"> </w:t>
      </w:r>
      <w:r w:rsidRPr="003C7F6D">
        <w:rPr>
          <w:sz w:val="24"/>
          <w:szCs w:val="24"/>
        </w:rPr>
        <w:t>(which</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denies)</w:t>
      </w:r>
      <w:r w:rsidR="002514B0">
        <w:rPr>
          <w:sz w:val="24"/>
          <w:szCs w:val="24"/>
        </w:rPr>
        <w:t xml:space="preserve"> </w:t>
      </w:r>
      <w:r w:rsidRPr="003C7F6D">
        <w:rPr>
          <w:sz w:val="24"/>
          <w:szCs w:val="24"/>
        </w:rPr>
        <w:t>are</w:t>
      </w:r>
      <w:r w:rsidR="002514B0">
        <w:rPr>
          <w:sz w:val="24"/>
          <w:szCs w:val="24"/>
        </w:rPr>
        <w:t xml:space="preserve"> </w:t>
      </w:r>
      <w:r w:rsidRPr="003C7F6D">
        <w:rPr>
          <w:sz w:val="24"/>
          <w:szCs w:val="24"/>
        </w:rPr>
        <w:t>completely</w:t>
      </w:r>
      <w:r w:rsidR="002514B0">
        <w:rPr>
          <w:sz w:val="24"/>
          <w:szCs w:val="24"/>
        </w:rPr>
        <w:t xml:space="preserve"> </w:t>
      </w:r>
      <w:r w:rsidRPr="003C7F6D">
        <w:rPr>
          <w:sz w:val="24"/>
          <w:szCs w:val="24"/>
        </w:rPr>
        <w:t>inapplicable.</w:t>
      </w:r>
      <w:r w:rsidR="002514B0">
        <w:rPr>
          <w:sz w:val="24"/>
          <w:szCs w:val="24"/>
        </w:rPr>
        <w:t xml:space="preserve"> </w:t>
      </w:r>
    </w:p>
    <w:p w14:paraId="7D360605" w14:textId="77777777" w:rsidR="00511610" w:rsidRPr="003C7F6D" w:rsidRDefault="00511610" w:rsidP="003C6728">
      <w:pPr>
        <w:rPr>
          <w:b/>
          <w:sz w:val="24"/>
          <w:szCs w:val="24"/>
        </w:rPr>
      </w:pPr>
    </w:p>
    <w:p w14:paraId="1C91DA77" w14:textId="77777777" w:rsidR="00511610" w:rsidRPr="003C7F6D" w:rsidRDefault="00511610" w:rsidP="003C6728">
      <w:pPr>
        <w:rPr>
          <w:b/>
          <w:sz w:val="24"/>
          <w:szCs w:val="24"/>
        </w:rPr>
      </w:pPr>
    </w:p>
    <w:p w14:paraId="2276C965" w14:textId="77777777" w:rsidR="00511610" w:rsidRPr="003C7F6D" w:rsidRDefault="00511610" w:rsidP="003C6728">
      <w:pPr>
        <w:rPr>
          <w:b/>
          <w:sz w:val="24"/>
          <w:szCs w:val="24"/>
        </w:rPr>
      </w:pPr>
    </w:p>
    <w:p w14:paraId="4218EA14" w14:textId="6A42023E" w:rsidR="00511610" w:rsidRPr="003C7F6D" w:rsidRDefault="00511610" w:rsidP="003C6728">
      <w:pPr>
        <w:rPr>
          <w:b/>
          <w:sz w:val="24"/>
          <w:szCs w:val="24"/>
        </w:rPr>
      </w:pPr>
      <w:r w:rsidRPr="003C7F6D">
        <w:rPr>
          <w:b/>
          <w:sz w:val="24"/>
          <w:szCs w:val="24"/>
        </w:rPr>
        <w:t>Q9.</w:t>
      </w:r>
      <w:r w:rsidR="002514B0">
        <w:rPr>
          <w:b/>
          <w:sz w:val="24"/>
          <w:szCs w:val="24"/>
        </w:rPr>
        <w:t xml:space="preserve"> </w:t>
      </w:r>
      <w:r w:rsidRPr="003C7F6D">
        <w:rPr>
          <w:b/>
          <w:sz w:val="24"/>
          <w:szCs w:val="24"/>
        </w:rPr>
        <w:tab/>
        <w:t>Did</w:t>
      </w:r>
      <w:r w:rsidR="002514B0">
        <w:rPr>
          <w:b/>
          <w:sz w:val="24"/>
          <w:szCs w:val="24"/>
        </w:rPr>
        <w:t xml:space="preserve"> </w:t>
      </w:r>
      <w:r w:rsidRPr="003C7F6D">
        <w:rPr>
          <w:b/>
          <w:sz w:val="24"/>
          <w:szCs w:val="24"/>
        </w:rPr>
        <w:t>BSI’s</w:t>
      </w:r>
      <w:r w:rsidR="002514B0">
        <w:rPr>
          <w:b/>
          <w:sz w:val="24"/>
          <w:szCs w:val="24"/>
        </w:rPr>
        <w:t xml:space="preserve"> </w:t>
      </w:r>
      <w:r w:rsidRPr="003C7F6D">
        <w:rPr>
          <w:b/>
          <w:sz w:val="24"/>
          <w:szCs w:val="24"/>
        </w:rPr>
        <w:t>three</w:t>
      </w:r>
      <w:r w:rsidR="002514B0">
        <w:rPr>
          <w:b/>
          <w:sz w:val="24"/>
          <w:szCs w:val="24"/>
        </w:rPr>
        <w:t xml:space="preserve"> </w:t>
      </w:r>
      <w:r w:rsidRPr="003C7F6D">
        <w:rPr>
          <w:b/>
          <w:sz w:val="24"/>
          <w:szCs w:val="24"/>
        </w:rPr>
        <w:t>pilot</w:t>
      </w:r>
      <w:r w:rsidR="002514B0">
        <w:rPr>
          <w:b/>
          <w:sz w:val="24"/>
          <w:szCs w:val="24"/>
        </w:rPr>
        <w:t xml:space="preserve"> </w:t>
      </w:r>
      <w:r w:rsidRPr="003C7F6D">
        <w:rPr>
          <w:b/>
          <w:sz w:val="24"/>
          <w:szCs w:val="24"/>
        </w:rPr>
        <w:t>applications</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2016</w:t>
      </w:r>
      <w:r w:rsidR="002514B0">
        <w:rPr>
          <w:b/>
          <w:sz w:val="24"/>
          <w:szCs w:val="24"/>
        </w:rPr>
        <w:t xml:space="preserve"> </w:t>
      </w:r>
      <w:r w:rsidRPr="003C7F6D">
        <w:rPr>
          <w:b/>
          <w:sz w:val="24"/>
          <w:szCs w:val="24"/>
        </w:rPr>
        <w:t>violate</w:t>
      </w:r>
      <w:r w:rsidR="002514B0">
        <w:rPr>
          <w:b/>
          <w:sz w:val="24"/>
          <w:szCs w:val="24"/>
        </w:rPr>
        <w:t xml:space="preserve"> </w:t>
      </w:r>
      <w:r w:rsidRPr="003C7F6D">
        <w:rPr>
          <w:b/>
          <w:sz w:val="24"/>
          <w:szCs w:val="24"/>
        </w:rPr>
        <w:t>any</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Resolutions?</w:t>
      </w:r>
    </w:p>
    <w:p w14:paraId="50D8D88E" w14:textId="505B2E14"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No.</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fact,</w:t>
      </w:r>
      <w:r w:rsidR="002514B0">
        <w:rPr>
          <w:sz w:val="24"/>
          <w:szCs w:val="24"/>
        </w:rPr>
        <w:t xml:space="preserve"> </w:t>
      </w:r>
      <w:r w:rsidRPr="003C7F6D">
        <w:rPr>
          <w:sz w:val="24"/>
          <w:szCs w:val="24"/>
        </w:rPr>
        <w:t>only</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third</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these</w:t>
      </w:r>
      <w:r w:rsidR="002514B0">
        <w:rPr>
          <w:sz w:val="24"/>
          <w:szCs w:val="24"/>
        </w:rPr>
        <w:t xml:space="preserve"> </w:t>
      </w:r>
      <w:r w:rsidRPr="003C7F6D">
        <w:rPr>
          <w:sz w:val="24"/>
          <w:szCs w:val="24"/>
        </w:rPr>
        <w:t>three</w:t>
      </w:r>
      <w:r w:rsidR="002514B0">
        <w:rPr>
          <w:sz w:val="24"/>
          <w:szCs w:val="24"/>
        </w:rPr>
        <w:t xml:space="preserve"> </w:t>
      </w:r>
      <w:r w:rsidRPr="003C7F6D">
        <w:rPr>
          <w:sz w:val="24"/>
          <w:szCs w:val="24"/>
        </w:rPr>
        <w:t>assertions</w:t>
      </w:r>
      <w:r w:rsidR="002514B0">
        <w:rPr>
          <w:sz w:val="24"/>
          <w:szCs w:val="24"/>
        </w:rPr>
        <w:t xml:space="preserve"> </w:t>
      </w:r>
      <w:r w:rsidRPr="003C7F6D">
        <w:rPr>
          <w:sz w:val="24"/>
          <w:szCs w:val="24"/>
        </w:rPr>
        <w:t>referred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previous</w:t>
      </w:r>
      <w:r w:rsidR="002514B0">
        <w:rPr>
          <w:sz w:val="24"/>
          <w:szCs w:val="24"/>
        </w:rPr>
        <w:t xml:space="preserve"> </w:t>
      </w:r>
      <w:r w:rsidRPr="003C7F6D">
        <w:rPr>
          <w:sz w:val="24"/>
          <w:szCs w:val="24"/>
        </w:rPr>
        <w:t>answer</w:t>
      </w:r>
      <w:r w:rsidR="002514B0">
        <w:rPr>
          <w:sz w:val="24"/>
          <w:szCs w:val="24"/>
        </w:rPr>
        <w:t xml:space="preserve"> </w:t>
      </w:r>
      <w:r w:rsidRPr="003C7F6D">
        <w:rPr>
          <w:sz w:val="24"/>
          <w:szCs w:val="24"/>
        </w:rPr>
        <w:t>made</w:t>
      </w:r>
      <w:r w:rsidR="002514B0">
        <w:rPr>
          <w:sz w:val="24"/>
          <w:szCs w:val="24"/>
        </w:rPr>
        <w:t xml:space="preserve"> </w:t>
      </w:r>
      <w:r w:rsidRPr="003C7F6D">
        <w:rPr>
          <w:sz w:val="24"/>
          <w:szCs w:val="24"/>
        </w:rPr>
        <w:t>any</w:t>
      </w:r>
      <w:r w:rsidR="002514B0">
        <w:rPr>
          <w:sz w:val="24"/>
          <w:szCs w:val="24"/>
        </w:rPr>
        <w:t xml:space="preserve"> </w:t>
      </w:r>
      <w:r w:rsidRPr="003C7F6D">
        <w:rPr>
          <w:sz w:val="24"/>
          <w:szCs w:val="24"/>
        </w:rPr>
        <w:t>mention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requiring</w:t>
      </w:r>
      <w:r w:rsidR="002514B0">
        <w:rPr>
          <w:sz w:val="24"/>
          <w:szCs w:val="24"/>
        </w:rPr>
        <w:t xml:space="preserve"> </w:t>
      </w:r>
      <w:r w:rsidRPr="003C7F6D">
        <w:rPr>
          <w:sz w:val="24"/>
          <w:szCs w:val="24"/>
        </w:rPr>
        <w:t>more</w:t>
      </w:r>
      <w:r w:rsidR="002514B0">
        <w:rPr>
          <w:sz w:val="24"/>
          <w:szCs w:val="24"/>
        </w:rPr>
        <w:t xml:space="preserve"> </w:t>
      </w:r>
      <w:r w:rsidRPr="003C7F6D">
        <w:rPr>
          <w:sz w:val="24"/>
          <w:szCs w:val="24"/>
        </w:rPr>
        <w:t>or</w:t>
      </w:r>
      <w:r w:rsidR="002514B0">
        <w:rPr>
          <w:sz w:val="24"/>
          <w:szCs w:val="24"/>
        </w:rPr>
        <w:t xml:space="preserve"> </w:t>
      </w:r>
      <w:r w:rsidRPr="003C7F6D">
        <w:rPr>
          <w:sz w:val="24"/>
          <w:szCs w:val="24"/>
        </w:rPr>
        <w:t>better</w:t>
      </w:r>
      <w:r w:rsidR="002514B0">
        <w:rPr>
          <w:sz w:val="24"/>
          <w:szCs w:val="24"/>
        </w:rPr>
        <w:t xml:space="preserve"> </w:t>
      </w:r>
      <w:r w:rsidRPr="003C7F6D">
        <w:rPr>
          <w:sz w:val="24"/>
          <w:szCs w:val="24"/>
        </w:rPr>
        <w:t>data</w:t>
      </w:r>
      <w:r w:rsidR="002514B0">
        <w:rPr>
          <w:sz w:val="24"/>
          <w:szCs w:val="24"/>
        </w:rPr>
        <w:t xml:space="preserve"> </w:t>
      </w:r>
      <w:r w:rsidRPr="003C7F6D">
        <w:rPr>
          <w:sz w:val="24"/>
          <w:szCs w:val="24"/>
        </w:rPr>
        <w:t>than</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presented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third</w:t>
      </w:r>
      <w:r w:rsidR="002514B0">
        <w:rPr>
          <w:sz w:val="24"/>
          <w:szCs w:val="24"/>
        </w:rPr>
        <w:t xml:space="preserve"> </w:t>
      </w:r>
      <w:r w:rsidRPr="003C7F6D">
        <w:rPr>
          <w:sz w:val="24"/>
          <w:szCs w:val="24"/>
        </w:rPr>
        <w:t>citation</w:t>
      </w:r>
      <w:r w:rsidR="002514B0">
        <w:rPr>
          <w:sz w:val="24"/>
          <w:szCs w:val="24"/>
        </w:rPr>
        <w:t xml:space="preserve"> </w:t>
      </w:r>
      <w:r w:rsidRPr="003C7F6D">
        <w:rPr>
          <w:sz w:val="24"/>
          <w:szCs w:val="24"/>
        </w:rPr>
        <w:t>it</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stated</w:t>
      </w:r>
      <w:r w:rsidR="002514B0">
        <w:rPr>
          <w:sz w:val="24"/>
          <w:szCs w:val="24"/>
        </w:rPr>
        <w:t xml:space="preserve"> </w:t>
      </w:r>
      <w:r w:rsidRPr="003C7F6D">
        <w:rPr>
          <w:sz w:val="24"/>
          <w:szCs w:val="24"/>
        </w:rPr>
        <w:t>that:</w:t>
      </w:r>
      <w:r w:rsidR="002514B0">
        <w:rPr>
          <w:sz w:val="24"/>
          <w:szCs w:val="24"/>
        </w:rPr>
        <w:t xml:space="preserve"> </w:t>
      </w:r>
    </w:p>
    <w:p w14:paraId="29F8B0E1" w14:textId="2E02148A" w:rsidR="00511610" w:rsidRPr="003C7F6D" w:rsidRDefault="002514B0" w:rsidP="003C6728">
      <w:pPr>
        <w:rPr>
          <w:sz w:val="24"/>
          <w:szCs w:val="24"/>
        </w:rPr>
      </w:pPr>
      <w:r>
        <w:rPr>
          <w:sz w:val="24"/>
          <w:szCs w:val="24"/>
        </w:rPr>
        <w:lastRenderedPageBreak/>
        <w:t xml:space="preserve"> </w:t>
      </w:r>
      <w:r w:rsidR="00511610" w:rsidRPr="003C7F6D">
        <w:rPr>
          <w:sz w:val="24"/>
          <w:szCs w:val="24"/>
        </w:rPr>
        <w:tab/>
        <w:t>“WHEREAS,</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Advisors</w:t>
      </w:r>
      <w:r>
        <w:rPr>
          <w:sz w:val="24"/>
          <w:szCs w:val="24"/>
        </w:rPr>
        <w:t xml:space="preserve"> </w:t>
      </w:r>
      <w:r w:rsidR="00511610" w:rsidRPr="003C7F6D">
        <w:rPr>
          <w:sz w:val="24"/>
          <w:szCs w:val="24"/>
        </w:rPr>
        <w:t>state</w:t>
      </w:r>
      <w:r>
        <w:rPr>
          <w:sz w:val="24"/>
          <w:szCs w:val="24"/>
        </w:rPr>
        <w:t xml:space="preserve"> </w:t>
      </w:r>
      <w:r w:rsidR="00511610" w:rsidRPr="003C7F6D">
        <w:rPr>
          <w:sz w:val="24"/>
          <w:szCs w:val="24"/>
        </w:rPr>
        <w:t>that</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Council</w:t>
      </w:r>
      <w:r>
        <w:rPr>
          <w:sz w:val="24"/>
          <w:szCs w:val="24"/>
        </w:rPr>
        <w:t xml:space="preserve"> </w:t>
      </w:r>
      <w:r w:rsidR="00511610" w:rsidRPr="003C7F6D">
        <w:rPr>
          <w:sz w:val="24"/>
          <w:szCs w:val="24"/>
        </w:rPr>
        <w:t>has</w:t>
      </w:r>
      <w:r>
        <w:rPr>
          <w:sz w:val="24"/>
          <w:szCs w:val="24"/>
        </w:rPr>
        <w:t xml:space="preserve"> </w:t>
      </w:r>
      <w:r w:rsidR="00511610" w:rsidRPr="003C7F6D">
        <w:rPr>
          <w:sz w:val="24"/>
          <w:szCs w:val="24"/>
        </w:rPr>
        <w:t>set</w:t>
      </w:r>
      <w:r>
        <w:rPr>
          <w:sz w:val="24"/>
          <w:szCs w:val="24"/>
        </w:rPr>
        <w:t xml:space="preserve"> </w:t>
      </w:r>
      <w:r w:rsidR="00511610" w:rsidRPr="003C7F6D">
        <w:rPr>
          <w:sz w:val="24"/>
          <w:szCs w:val="24"/>
        </w:rPr>
        <w:t>forth</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criteria</w:t>
      </w:r>
      <w:r>
        <w:rPr>
          <w:sz w:val="24"/>
          <w:szCs w:val="24"/>
        </w:rPr>
        <w:t xml:space="preserve"> </w:t>
      </w:r>
      <w:r w:rsidR="00511610" w:rsidRPr="003C7F6D">
        <w:rPr>
          <w:sz w:val="24"/>
          <w:szCs w:val="24"/>
        </w:rPr>
        <w:t>that</w:t>
      </w:r>
      <w:r>
        <w:rPr>
          <w:sz w:val="24"/>
          <w:szCs w:val="24"/>
        </w:rPr>
        <w:t xml:space="preserve"> </w:t>
      </w:r>
      <w:r w:rsidR="00511610" w:rsidRPr="003C7F6D">
        <w:rPr>
          <w:sz w:val="24"/>
          <w:szCs w:val="24"/>
        </w:rPr>
        <w:t>any</w:t>
      </w:r>
      <w:r>
        <w:rPr>
          <w:sz w:val="24"/>
          <w:szCs w:val="24"/>
        </w:rPr>
        <w:t xml:space="preserve"> </w:t>
      </w:r>
      <w:r w:rsidR="00511610" w:rsidRPr="003C7F6D">
        <w:rPr>
          <w:sz w:val="24"/>
          <w:szCs w:val="24"/>
        </w:rPr>
        <w:t>application</w:t>
      </w:r>
      <w:r>
        <w:rPr>
          <w:sz w:val="24"/>
          <w:szCs w:val="24"/>
        </w:rPr>
        <w:t xml:space="preserve"> </w:t>
      </w:r>
      <w:r w:rsidR="00511610" w:rsidRPr="003C7F6D">
        <w:rPr>
          <w:sz w:val="24"/>
          <w:szCs w:val="24"/>
        </w:rPr>
        <w:t>for</w:t>
      </w:r>
      <w:r>
        <w:rPr>
          <w:sz w:val="24"/>
          <w:szCs w:val="24"/>
        </w:rPr>
        <w:t xml:space="preserve"> </w:t>
      </w:r>
      <w:r w:rsidR="00511610" w:rsidRPr="003C7F6D">
        <w:rPr>
          <w:sz w:val="24"/>
          <w:szCs w:val="24"/>
        </w:rPr>
        <w:t>a</w:t>
      </w:r>
      <w:r>
        <w:rPr>
          <w:sz w:val="24"/>
          <w:szCs w:val="24"/>
        </w:rPr>
        <w:t xml:space="preserve"> </w:t>
      </w:r>
      <w:r w:rsidR="00511610" w:rsidRPr="003C7F6D">
        <w:rPr>
          <w:sz w:val="24"/>
          <w:szCs w:val="24"/>
        </w:rPr>
        <w:t>Pilot</w:t>
      </w:r>
      <w:r>
        <w:rPr>
          <w:sz w:val="24"/>
          <w:szCs w:val="24"/>
        </w:rPr>
        <w:t xml:space="preserve"> </w:t>
      </w:r>
      <w:r w:rsidR="00511610" w:rsidRPr="003C7F6D">
        <w:rPr>
          <w:sz w:val="24"/>
          <w:szCs w:val="24"/>
        </w:rPr>
        <w:t>Program</w:t>
      </w:r>
      <w:r>
        <w:rPr>
          <w:sz w:val="24"/>
          <w:szCs w:val="24"/>
        </w:rPr>
        <w:t xml:space="preserve"> </w:t>
      </w:r>
      <w:r w:rsidR="00511610" w:rsidRPr="003C7F6D">
        <w:rPr>
          <w:sz w:val="24"/>
          <w:szCs w:val="24"/>
        </w:rPr>
        <w:t>related</w:t>
      </w:r>
      <w:r>
        <w:rPr>
          <w:sz w:val="24"/>
          <w:szCs w:val="24"/>
        </w:rPr>
        <w:t xml:space="preserve"> </w:t>
      </w:r>
      <w:r w:rsidR="00511610" w:rsidRPr="003C7F6D">
        <w:rPr>
          <w:sz w:val="24"/>
          <w:szCs w:val="24"/>
        </w:rPr>
        <w:t>to</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IRP</w:t>
      </w:r>
      <w:r>
        <w:rPr>
          <w:sz w:val="24"/>
          <w:szCs w:val="24"/>
        </w:rPr>
        <w:t xml:space="preserve"> </w:t>
      </w:r>
      <w:r w:rsidR="00511610" w:rsidRPr="003C7F6D">
        <w:rPr>
          <w:sz w:val="24"/>
          <w:szCs w:val="24"/>
        </w:rPr>
        <w:t>or</w:t>
      </w:r>
      <w:r>
        <w:rPr>
          <w:sz w:val="24"/>
          <w:szCs w:val="24"/>
        </w:rPr>
        <w:t xml:space="preserve"> </w:t>
      </w:r>
      <w:r w:rsidR="00511610" w:rsidRPr="003C7F6D">
        <w:rPr>
          <w:sz w:val="24"/>
          <w:szCs w:val="24"/>
        </w:rPr>
        <w:t>Energy</w:t>
      </w:r>
      <w:r>
        <w:rPr>
          <w:sz w:val="24"/>
          <w:szCs w:val="24"/>
        </w:rPr>
        <w:t xml:space="preserve"> </w:t>
      </w:r>
      <w:r w:rsidR="00511610" w:rsidRPr="003C7F6D">
        <w:rPr>
          <w:sz w:val="24"/>
          <w:szCs w:val="24"/>
        </w:rPr>
        <w:t>Smart</w:t>
      </w:r>
      <w:r>
        <w:rPr>
          <w:sz w:val="24"/>
          <w:szCs w:val="24"/>
        </w:rPr>
        <w:t xml:space="preserve"> </w:t>
      </w:r>
      <w:r w:rsidR="00511610" w:rsidRPr="003C7F6D">
        <w:rPr>
          <w:sz w:val="24"/>
          <w:szCs w:val="24"/>
        </w:rPr>
        <w:t>Program</w:t>
      </w:r>
      <w:r>
        <w:rPr>
          <w:sz w:val="24"/>
          <w:szCs w:val="24"/>
        </w:rPr>
        <w:t xml:space="preserve"> </w:t>
      </w:r>
      <w:r w:rsidR="00511610" w:rsidRPr="003C7F6D">
        <w:rPr>
          <w:sz w:val="24"/>
          <w:szCs w:val="24"/>
        </w:rPr>
        <w:t>must</w:t>
      </w:r>
      <w:r>
        <w:rPr>
          <w:sz w:val="24"/>
          <w:szCs w:val="24"/>
        </w:rPr>
        <w:t xml:space="preserve"> </w:t>
      </w:r>
      <w:r w:rsidR="00511610" w:rsidRPr="003C7F6D">
        <w:rPr>
          <w:sz w:val="24"/>
          <w:szCs w:val="24"/>
        </w:rPr>
        <w:t>meet.</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Advisors</w:t>
      </w:r>
      <w:r>
        <w:rPr>
          <w:sz w:val="24"/>
          <w:szCs w:val="24"/>
        </w:rPr>
        <w:t xml:space="preserve"> </w:t>
      </w:r>
      <w:r w:rsidR="00511610" w:rsidRPr="003C7F6D">
        <w:rPr>
          <w:sz w:val="24"/>
          <w:szCs w:val="24"/>
        </w:rPr>
        <w:t>state</w:t>
      </w:r>
      <w:r>
        <w:rPr>
          <w:sz w:val="24"/>
          <w:szCs w:val="24"/>
        </w:rPr>
        <w:t xml:space="preserve"> </w:t>
      </w:r>
      <w:r w:rsidR="00511610" w:rsidRPr="003C7F6D">
        <w:rPr>
          <w:sz w:val="24"/>
          <w:szCs w:val="24"/>
        </w:rPr>
        <w:t>that</w:t>
      </w:r>
      <w:r>
        <w:rPr>
          <w:sz w:val="24"/>
          <w:szCs w:val="24"/>
        </w:rPr>
        <w:t xml:space="preserve"> </w:t>
      </w:r>
      <w:r w:rsidR="00511610" w:rsidRPr="003C7F6D">
        <w:rPr>
          <w:sz w:val="24"/>
          <w:szCs w:val="24"/>
        </w:rPr>
        <w:t>in</w:t>
      </w:r>
      <w:r>
        <w:rPr>
          <w:sz w:val="24"/>
          <w:szCs w:val="24"/>
        </w:rPr>
        <w:t xml:space="preserve"> </w:t>
      </w:r>
      <w:r w:rsidR="00511610" w:rsidRPr="003C7F6D">
        <w:rPr>
          <w:sz w:val="24"/>
          <w:szCs w:val="24"/>
        </w:rPr>
        <w:t>Resolution</w:t>
      </w:r>
      <w:r>
        <w:rPr>
          <w:sz w:val="24"/>
          <w:szCs w:val="24"/>
        </w:rPr>
        <w:t xml:space="preserve"> </w:t>
      </w:r>
      <w:r w:rsidR="00511610" w:rsidRPr="003C7F6D">
        <w:rPr>
          <w:sz w:val="24"/>
          <w:szCs w:val="24"/>
        </w:rPr>
        <w:t>No.</w:t>
      </w:r>
      <w:r>
        <w:rPr>
          <w:sz w:val="24"/>
          <w:szCs w:val="24"/>
        </w:rPr>
        <w:t xml:space="preserve"> </w:t>
      </w:r>
      <w:r w:rsidR="00511610" w:rsidRPr="003C7F6D">
        <w:rPr>
          <w:sz w:val="24"/>
          <w:szCs w:val="24"/>
        </w:rPr>
        <w:t>R-15-140,</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Council</w:t>
      </w:r>
      <w:r>
        <w:rPr>
          <w:sz w:val="24"/>
          <w:szCs w:val="24"/>
        </w:rPr>
        <w:t xml:space="preserve"> </w:t>
      </w:r>
      <w:r w:rsidR="00511610" w:rsidRPr="003C7F6D">
        <w:rPr>
          <w:sz w:val="24"/>
          <w:szCs w:val="24"/>
        </w:rPr>
        <w:t>ruled</w:t>
      </w:r>
      <w:r>
        <w:rPr>
          <w:sz w:val="24"/>
          <w:szCs w:val="24"/>
        </w:rPr>
        <w:t xml:space="preserve"> </w:t>
      </w:r>
      <w:r w:rsidR="00511610" w:rsidRPr="003C7F6D">
        <w:rPr>
          <w:sz w:val="24"/>
          <w:szCs w:val="24"/>
        </w:rPr>
        <w:t>that</w:t>
      </w:r>
      <w:r>
        <w:rPr>
          <w:sz w:val="24"/>
          <w:szCs w:val="24"/>
        </w:rPr>
        <w:t xml:space="preserve"> </w:t>
      </w:r>
      <w:r w:rsidR="00511610" w:rsidRPr="003C7F6D">
        <w:rPr>
          <w:sz w:val="24"/>
          <w:szCs w:val="24"/>
        </w:rPr>
        <w:t>prior</w:t>
      </w:r>
      <w:r>
        <w:rPr>
          <w:sz w:val="24"/>
          <w:szCs w:val="24"/>
        </w:rPr>
        <w:t xml:space="preserve"> </w:t>
      </w:r>
      <w:r w:rsidR="00511610" w:rsidRPr="003C7F6D">
        <w:rPr>
          <w:sz w:val="24"/>
          <w:szCs w:val="24"/>
        </w:rPr>
        <w:t>to</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implementation</w:t>
      </w:r>
      <w:r>
        <w:rPr>
          <w:sz w:val="24"/>
          <w:szCs w:val="24"/>
        </w:rPr>
        <w:t xml:space="preserve"> </w:t>
      </w:r>
      <w:r w:rsidR="00511610" w:rsidRPr="003C7F6D">
        <w:rPr>
          <w:sz w:val="24"/>
          <w:szCs w:val="24"/>
        </w:rPr>
        <w:t>of</w:t>
      </w:r>
      <w:r>
        <w:rPr>
          <w:sz w:val="24"/>
          <w:szCs w:val="24"/>
        </w:rPr>
        <w:t xml:space="preserve"> </w:t>
      </w:r>
      <w:r w:rsidR="00511610" w:rsidRPr="003C7F6D">
        <w:rPr>
          <w:sz w:val="24"/>
          <w:szCs w:val="24"/>
        </w:rPr>
        <w:t>any</w:t>
      </w:r>
      <w:r>
        <w:rPr>
          <w:sz w:val="24"/>
          <w:szCs w:val="24"/>
        </w:rPr>
        <w:t xml:space="preserve"> </w:t>
      </w:r>
      <w:r w:rsidR="00511610" w:rsidRPr="003C7F6D">
        <w:rPr>
          <w:sz w:val="24"/>
          <w:szCs w:val="24"/>
        </w:rPr>
        <w:t>new</w:t>
      </w:r>
      <w:r>
        <w:rPr>
          <w:sz w:val="24"/>
          <w:szCs w:val="24"/>
        </w:rPr>
        <w:t xml:space="preserve"> </w:t>
      </w:r>
      <w:r w:rsidR="00511610" w:rsidRPr="003C7F6D">
        <w:rPr>
          <w:sz w:val="24"/>
          <w:szCs w:val="24"/>
        </w:rPr>
        <w:t>pilot</w:t>
      </w:r>
      <w:r>
        <w:rPr>
          <w:sz w:val="24"/>
          <w:szCs w:val="24"/>
        </w:rPr>
        <w:t xml:space="preserve"> </w:t>
      </w:r>
      <w:r w:rsidR="00511610" w:rsidRPr="003C7F6D">
        <w:rPr>
          <w:sz w:val="24"/>
          <w:szCs w:val="24"/>
        </w:rPr>
        <w:t>program</w:t>
      </w:r>
      <w:r>
        <w:rPr>
          <w:sz w:val="24"/>
          <w:szCs w:val="24"/>
        </w:rPr>
        <w:t xml:space="preserve"> </w:t>
      </w:r>
      <w:r w:rsidR="00511610" w:rsidRPr="003C7F6D">
        <w:rPr>
          <w:sz w:val="24"/>
          <w:szCs w:val="24"/>
        </w:rPr>
        <w:t>for</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Legacy</w:t>
      </w:r>
      <w:r>
        <w:rPr>
          <w:sz w:val="24"/>
          <w:szCs w:val="24"/>
        </w:rPr>
        <w:t xml:space="preserve"> </w:t>
      </w:r>
      <w:r w:rsidR="00511610" w:rsidRPr="003C7F6D">
        <w:rPr>
          <w:sz w:val="24"/>
          <w:szCs w:val="24"/>
        </w:rPr>
        <w:t>ENO</w:t>
      </w:r>
      <w:r>
        <w:rPr>
          <w:sz w:val="24"/>
          <w:szCs w:val="24"/>
        </w:rPr>
        <w:t xml:space="preserve"> </w:t>
      </w:r>
      <w:r w:rsidR="00511610" w:rsidRPr="003C7F6D">
        <w:rPr>
          <w:sz w:val="24"/>
          <w:szCs w:val="24"/>
        </w:rPr>
        <w:t>Energy</w:t>
      </w:r>
      <w:r>
        <w:rPr>
          <w:sz w:val="24"/>
          <w:szCs w:val="24"/>
        </w:rPr>
        <w:t xml:space="preserve"> </w:t>
      </w:r>
      <w:r w:rsidR="00511610" w:rsidRPr="003C7F6D">
        <w:rPr>
          <w:sz w:val="24"/>
          <w:szCs w:val="24"/>
        </w:rPr>
        <w:t>Smart</w:t>
      </w:r>
      <w:r>
        <w:rPr>
          <w:sz w:val="24"/>
          <w:szCs w:val="24"/>
        </w:rPr>
        <w:t xml:space="preserve"> </w:t>
      </w:r>
      <w:r w:rsidR="00511610" w:rsidRPr="003C7F6D">
        <w:rPr>
          <w:sz w:val="24"/>
          <w:szCs w:val="24"/>
        </w:rPr>
        <w:t>Program,</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Companies</w:t>
      </w:r>
      <w:r>
        <w:rPr>
          <w:sz w:val="24"/>
          <w:szCs w:val="24"/>
        </w:rPr>
        <w:t xml:space="preserve"> </w:t>
      </w:r>
      <w:r w:rsidR="00511610" w:rsidRPr="003C7F6D">
        <w:rPr>
          <w:sz w:val="24"/>
          <w:szCs w:val="24"/>
        </w:rPr>
        <w:t>must</w:t>
      </w:r>
      <w:r>
        <w:rPr>
          <w:sz w:val="24"/>
          <w:szCs w:val="24"/>
        </w:rPr>
        <w:t xml:space="preserve"> </w:t>
      </w:r>
      <w:r w:rsidR="00511610" w:rsidRPr="003C7F6D">
        <w:rPr>
          <w:sz w:val="24"/>
          <w:szCs w:val="24"/>
        </w:rPr>
        <w:t>file</w:t>
      </w:r>
      <w:r>
        <w:rPr>
          <w:sz w:val="24"/>
          <w:szCs w:val="24"/>
        </w:rPr>
        <w:t xml:space="preserve"> </w:t>
      </w:r>
      <w:r w:rsidR="00511610" w:rsidRPr="003C7F6D">
        <w:rPr>
          <w:sz w:val="24"/>
          <w:szCs w:val="24"/>
        </w:rPr>
        <w:t>an</w:t>
      </w:r>
      <w:r>
        <w:rPr>
          <w:sz w:val="24"/>
          <w:szCs w:val="24"/>
        </w:rPr>
        <w:t xml:space="preserve"> </w:t>
      </w:r>
      <w:r w:rsidR="00511610" w:rsidRPr="003C7F6D">
        <w:rPr>
          <w:sz w:val="24"/>
          <w:szCs w:val="24"/>
        </w:rPr>
        <w:t>application</w:t>
      </w:r>
      <w:r>
        <w:rPr>
          <w:sz w:val="24"/>
          <w:szCs w:val="24"/>
        </w:rPr>
        <w:t xml:space="preserve"> </w:t>
      </w:r>
      <w:r w:rsidR="00511610" w:rsidRPr="003C7F6D">
        <w:rPr>
          <w:sz w:val="24"/>
          <w:szCs w:val="24"/>
        </w:rPr>
        <w:t>with</w:t>
      </w:r>
      <w:r>
        <w:rPr>
          <w:sz w:val="24"/>
          <w:szCs w:val="24"/>
        </w:rPr>
        <w:t xml:space="preserve"> </w:t>
      </w:r>
      <w:r w:rsidR="00511610" w:rsidRPr="003C7F6D">
        <w:rPr>
          <w:sz w:val="24"/>
          <w:szCs w:val="24"/>
        </w:rPr>
        <w:t>the</w:t>
      </w:r>
      <w:r>
        <w:rPr>
          <w:sz w:val="24"/>
          <w:szCs w:val="24"/>
        </w:rPr>
        <w:t xml:space="preserve"> </w:t>
      </w:r>
      <w:r w:rsidR="00511610" w:rsidRPr="003C7F6D">
        <w:rPr>
          <w:sz w:val="24"/>
          <w:szCs w:val="24"/>
        </w:rPr>
        <w:t>Council</w:t>
      </w:r>
      <w:r>
        <w:rPr>
          <w:sz w:val="24"/>
          <w:szCs w:val="24"/>
        </w:rPr>
        <w:t xml:space="preserve"> </w:t>
      </w:r>
      <w:r w:rsidR="00511610" w:rsidRPr="003C7F6D">
        <w:rPr>
          <w:sz w:val="24"/>
          <w:szCs w:val="24"/>
        </w:rPr>
        <w:t>for</w:t>
      </w:r>
      <w:r>
        <w:rPr>
          <w:sz w:val="24"/>
          <w:szCs w:val="24"/>
        </w:rPr>
        <w:t xml:space="preserve"> </w:t>
      </w:r>
      <w:r w:rsidR="00511610" w:rsidRPr="003C7F6D">
        <w:rPr>
          <w:sz w:val="24"/>
          <w:szCs w:val="24"/>
        </w:rPr>
        <w:t>review</w:t>
      </w:r>
      <w:r>
        <w:rPr>
          <w:sz w:val="24"/>
          <w:szCs w:val="24"/>
        </w:rPr>
        <w:t xml:space="preserve"> </w:t>
      </w:r>
      <w:r w:rsidR="00511610" w:rsidRPr="003C7F6D">
        <w:rPr>
          <w:sz w:val="24"/>
          <w:szCs w:val="24"/>
        </w:rPr>
        <w:t>and</w:t>
      </w:r>
      <w:r>
        <w:rPr>
          <w:sz w:val="24"/>
          <w:szCs w:val="24"/>
        </w:rPr>
        <w:t xml:space="preserve"> </w:t>
      </w:r>
      <w:r w:rsidR="00511610" w:rsidRPr="003C7F6D">
        <w:rPr>
          <w:sz w:val="24"/>
          <w:szCs w:val="24"/>
        </w:rPr>
        <w:t>approval</w:t>
      </w:r>
      <w:r>
        <w:rPr>
          <w:sz w:val="24"/>
          <w:szCs w:val="24"/>
        </w:rPr>
        <w:t xml:space="preserve"> </w:t>
      </w:r>
      <w:r w:rsidR="00511610" w:rsidRPr="003C7F6D">
        <w:rPr>
          <w:sz w:val="24"/>
          <w:szCs w:val="24"/>
        </w:rPr>
        <w:t>that</w:t>
      </w:r>
      <w:r>
        <w:rPr>
          <w:sz w:val="24"/>
          <w:szCs w:val="24"/>
        </w:rPr>
        <w:t xml:space="preserve"> </w:t>
      </w:r>
      <w:r w:rsidR="00511610" w:rsidRPr="003C7F6D">
        <w:rPr>
          <w:sz w:val="24"/>
          <w:szCs w:val="24"/>
        </w:rPr>
        <w:t>includes</w:t>
      </w:r>
      <w:r>
        <w:rPr>
          <w:sz w:val="24"/>
          <w:szCs w:val="24"/>
        </w:rPr>
        <w:t xml:space="preserve"> </w:t>
      </w:r>
      <w:r w:rsidR="00511610" w:rsidRPr="003C7F6D">
        <w:rPr>
          <w:sz w:val="24"/>
          <w:szCs w:val="24"/>
        </w:rPr>
        <w:t>….”</w:t>
      </w:r>
    </w:p>
    <w:p w14:paraId="44A673CA" w14:textId="0A10E161" w:rsidR="00511610" w:rsidRPr="003C7F6D" w:rsidRDefault="00511610" w:rsidP="003C6728">
      <w:pPr>
        <w:rPr>
          <w:sz w:val="24"/>
          <w:szCs w:val="24"/>
        </w:rPr>
      </w:pPr>
      <w:r w:rsidRPr="003C7F6D">
        <w:rPr>
          <w:sz w:val="24"/>
          <w:szCs w:val="24"/>
        </w:rPr>
        <w:tab/>
        <w:t>However,</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plain</w:t>
      </w:r>
      <w:r w:rsidR="002514B0">
        <w:rPr>
          <w:sz w:val="24"/>
          <w:szCs w:val="24"/>
        </w:rPr>
        <w:t xml:space="preserve"> </w:t>
      </w:r>
      <w:r w:rsidRPr="003C7F6D">
        <w:rPr>
          <w:sz w:val="24"/>
          <w:szCs w:val="24"/>
        </w:rPr>
        <w:t>meaning</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what</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Advisors</w:t>
      </w:r>
      <w:r w:rsidR="002514B0">
        <w:rPr>
          <w:sz w:val="24"/>
          <w:szCs w:val="24"/>
        </w:rPr>
        <w:t xml:space="preserve"> </w:t>
      </w:r>
      <w:r w:rsidRPr="003C7F6D">
        <w:rPr>
          <w:sz w:val="24"/>
          <w:szCs w:val="24"/>
        </w:rPr>
        <w:t>stated</w:t>
      </w:r>
      <w:r w:rsidR="002514B0">
        <w:rPr>
          <w:sz w:val="24"/>
          <w:szCs w:val="24"/>
        </w:rPr>
        <w:t xml:space="preserve"> </w:t>
      </w:r>
      <w:r w:rsidRPr="003C7F6D">
        <w:rPr>
          <w:sz w:val="24"/>
          <w:szCs w:val="24"/>
        </w:rPr>
        <w:t>asserts</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R-15-140</w:t>
      </w:r>
      <w:r w:rsidR="002514B0">
        <w:rPr>
          <w:sz w:val="24"/>
          <w:szCs w:val="24"/>
        </w:rPr>
        <w:t xml:space="preserve"> </w:t>
      </w:r>
      <w:r w:rsidRPr="003C7F6D">
        <w:rPr>
          <w:sz w:val="24"/>
          <w:szCs w:val="24"/>
        </w:rPr>
        <w:t>only</w:t>
      </w:r>
      <w:r w:rsidR="002514B0">
        <w:rPr>
          <w:sz w:val="24"/>
          <w:szCs w:val="24"/>
        </w:rPr>
        <w:t xml:space="preserve"> </w:t>
      </w:r>
      <w:r w:rsidRPr="003C7F6D">
        <w:rPr>
          <w:sz w:val="24"/>
          <w:szCs w:val="24"/>
        </w:rPr>
        <w:t>applies</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“prior</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implementation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any</w:t>
      </w:r>
      <w:r w:rsidR="002514B0">
        <w:rPr>
          <w:sz w:val="24"/>
          <w:szCs w:val="24"/>
        </w:rPr>
        <w:t xml:space="preserve"> </w:t>
      </w:r>
      <w:r w:rsidRPr="003C7F6D">
        <w:rPr>
          <w:sz w:val="24"/>
          <w:szCs w:val="24"/>
        </w:rPr>
        <w:t>new</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Legacy</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Energy</w:t>
      </w:r>
      <w:r w:rsidR="002514B0">
        <w:rPr>
          <w:sz w:val="24"/>
          <w:szCs w:val="24"/>
        </w:rPr>
        <w:t xml:space="preserve"> </w:t>
      </w:r>
      <w:r w:rsidRPr="003C7F6D">
        <w:rPr>
          <w:sz w:val="24"/>
          <w:szCs w:val="24"/>
        </w:rPr>
        <w:t>Smart</w:t>
      </w:r>
      <w:r w:rsidR="002514B0">
        <w:rPr>
          <w:sz w:val="24"/>
          <w:szCs w:val="24"/>
        </w:rPr>
        <w:t xml:space="preserve"> </w:t>
      </w:r>
      <w:r w:rsidRPr="003C7F6D">
        <w:rPr>
          <w:sz w:val="24"/>
          <w:szCs w:val="24"/>
        </w:rPr>
        <w:t>Program,</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Companies</w:t>
      </w:r>
      <w:r w:rsidR="002514B0">
        <w:rPr>
          <w:sz w:val="24"/>
          <w:szCs w:val="24"/>
        </w:rPr>
        <w:t xml:space="preserve"> </w:t>
      </w:r>
      <w:r w:rsidRPr="003C7F6D">
        <w:rPr>
          <w:sz w:val="24"/>
          <w:szCs w:val="24"/>
        </w:rPr>
        <w:t>must</w:t>
      </w:r>
      <w:r w:rsidR="002514B0">
        <w:rPr>
          <w:sz w:val="24"/>
          <w:szCs w:val="24"/>
        </w:rPr>
        <w:t xml:space="preserve"> </w:t>
      </w:r>
      <w:r w:rsidRPr="003C7F6D">
        <w:rPr>
          <w:sz w:val="24"/>
          <w:szCs w:val="24"/>
        </w:rPr>
        <w:t>file</w:t>
      </w:r>
      <w:r w:rsidR="002514B0">
        <w:rPr>
          <w:sz w:val="24"/>
          <w:szCs w:val="24"/>
        </w:rPr>
        <w:t xml:space="preserve"> </w:t>
      </w:r>
      <w:r w:rsidRPr="003C7F6D">
        <w:rPr>
          <w:sz w:val="24"/>
          <w:szCs w:val="24"/>
        </w:rPr>
        <w:t>an</w:t>
      </w:r>
      <w:r w:rsidR="002514B0">
        <w:rPr>
          <w:sz w:val="24"/>
          <w:szCs w:val="24"/>
        </w:rPr>
        <w:t xml:space="preserve"> </w:t>
      </w:r>
      <w:r w:rsidRPr="003C7F6D">
        <w:rPr>
          <w:sz w:val="24"/>
          <w:szCs w:val="24"/>
        </w:rPr>
        <w:t>application</w:t>
      </w:r>
      <w:r w:rsidR="002514B0">
        <w:rPr>
          <w:sz w:val="24"/>
          <w:szCs w:val="24"/>
        </w:rPr>
        <w:t xml:space="preserve"> </w:t>
      </w:r>
      <w:r w:rsidRPr="003C7F6D">
        <w:rPr>
          <w:sz w:val="24"/>
          <w:szCs w:val="24"/>
        </w:rPr>
        <w:t>with</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But:</w:t>
      </w:r>
    </w:p>
    <w:p w14:paraId="40B4F43C" w14:textId="6503D76A" w:rsidR="00511610" w:rsidRPr="003C7F6D" w:rsidRDefault="00511610" w:rsidP="003C6728">
      <w:pPr>
        <w:rPr>
          <w:sz w:val="24"/>
          <w:szCs w:val="24"/>
        </w:rPr>
      </w:pPr>
      <w:r w:rsidRPr="003C7F6D">
        <w:rPr>
          <w:sz w:val="24"/>
          <w:szCs w:val="24"/>
        </w:rPr>
        <w:t>#1</w:t>
      </w:r>
      <w:r w:rsidR="002514B0">
        <w:rPr>
          <w:sz w:val="24"/>
          <w:szCs w:val="24"/>
        </w:rPr>
        <w:t xml:space="preserve"> </w:t>
      </w:r>
      <w:r w:rsidRPr="003C7F6D">
        <w:rPr>
          <w:sz w:val="24"/>
          <w:szCs w:val="24"/>
        </w:rPr>
        <w:tab/>
        <w:t>BSI’s</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pilot</w:t>
      </w:r>
      <w:r w:rsidR="002514B0">
        <w:rPr>
          <w:sz w:val="24"/>
          <w:szCs w:val="24"/>
        </w:rPr>
        <w:t xml:space="preserve"> </w:t>
      </w:r>
      <w:r w:rsidRPr="003C7F6D">
        <w:rPr>
          <w:sz w:val="24"/>
          <w:szCs w:val="24"/>
        </w:rPr>
        <w:t>programs</w:t>
      </w:r>
      <w:r w:rsidR="002514B0">
        <w:rPr>
          <w:sz w:val="24"/>
          <w:szCs w:val="24"/>
        </w:rPr>
        <w:t xml:space="preserve"> </w:t>
      </w:r>
      <w:r w:rsidRPr="003C7F6D">
        <w:rPr>
          <w:sz w:val="24"/>
          <w:szCs w:val="24"/>
        </w:rPr>
        <w:t>were</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way</w:t>
      </w:r>
      <w:r w:rsidR="002514B0">
        <w:rPr>
          <w:sz w:val="24"/>
          <w:szCs w:val="24"/>
        </w:rPr>
        <w:t xml:space="preserve"> </w:t>
      </w:r>
      <w:r w:rsidRPr="003C7F6D">
        <w:rPr>
          <w:sz w:val="24"/>
          <w:szCs w:val="24"/>
        </w:rPr>
        <w:t>proposed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Energy</w:t>
      </w:r>
      <w:r w:rsidR="002514B0">
        <w:rPr>
          <w:sz w:val="24"/>
          <w:szCs w:val="24"/>
        </w:rPr>
        <w:t xml:space="preserve"> </w:t>
      </w:r>
      <w:r w:rsidRPr="003C7F6D">
        <w:rPr>
          <w:sz w:val="24"/>
          <w:szCs w:val="24"/>
        </w:rPr>
        <w:t>Smart.</w:t>
      </w:r>
      <w:r w:rsidR="002514B0">
        <w:rPr>
          <w:sz w:val="24"/>
          <w:szCs w:val="24"/>
        </w:rPr>
        <w:t xml:space="preserve"> </w:t>
      </w:r>
    </w:p>
    <w:p w14:paraId="790A7231" w14:textId="797A42EE" w:rsidR="00511610" w:rsidRPr="003C7F6D" w:rsidRDefault="00511610" w:rsidP="003C6728">
      <w:pPr>
        <w:rPr>
          <w:sz w:val="24"/>
          <w:szCs w:val="24"/>
        </w:rPr>
      </w:pPr>
      <w:r w:rsidRPr="003C7F6D">
        <w:rPr>
          <w:sz w:val="24"/>
          <w:szCs w:val="24"/>
        </w:rPr>
        <w:t>#2</w:t>
      </w:r>
      <w:r w:rsidR="002514B0">
        <w:rPr>
          <w:sz w:val="24"/>
          <w:szCs w:val="24"/>
        </w:rPr>
        <w:t xml:space="preserve"> </w:t>
      </w:r>
      <w:r w:rsidRPr="003C7F6D">
        <w:rPr>
          <w:sz w:val="24"/>
          <w:szCs w:val="24"/>
        </w:rPr>
        <w:tab/>
        <w:t>BSI</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clearly</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thus</w:t>
      </w:r>
      <w:r w:rsidR="002514B0">
        <w:rPr>
          <w:sz w:val="24"/>
          <w:szCs w:val="24"/>
        </w:rPr>
        <w:t xml:space="preserve"> </w:t>
      </w:r>
      <w:r w:rsidRPr="003C7F6D">
        <w:rPr>
          <w:sz w:val="24"/>
          <w:szCs w:val="24"/>
        </w:rPr>
        <w:t>cannot</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should</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assumed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included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term</w:t>
      </w:r>
      <w:r w:rsidR="002514B0">
        <w:rPr>
          <w:sz w:val="24"/>
          <w:szCs w:val="24"/>
        </w:rPr>
        <w:t xml:space="preserve"> </w:t>
      </w:r>
      <w:r w:rsidRPr="003C7F6D">
        <w:rPr>
          <w:sz w:val="24"/>
          <w:szCs w:val="24"/>
        </w:rPr>
        <w:t>“Companies”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second</w:t>
      </w:r>
      <w:r w:rsidR="002514B0">
        <w:rPr>
          <w:sz w:val="24"/>
          <w:szCs w:val="24"/>
        </w:rPr>
        <w:t xml:space="preserve"> </w:t>
      </w:r>
      <w:r w:rsidRPr="003C7F6D">
        <w:rPr>
          <w:sz w:val="24"/>
          <w:szCs w:val="24"/>
        </w:rPr>
        <w:t>quoted</w:t>
      </w:r>
      <w:r w:rsidR="002514B0">
        <w:rPr>
          <w:sz w:val="24"/>
          <w:szCs w:val="24"/>
        </w:rPr>
        <w:t xml:space="preserve"> </w:t>
      </w:r>
      <w:r w:rsidRPr="003C7F6D">
        <w:rPr>
          <w:sz w:val="24"/>
          <w:szCs w:val="24"/>
        </w:rPr>
        <w:t>clause;</w:t>
      </w:r>
      <w:r w:rsidR="002514B0">
        <w:rPr>
          <w:sz w:val="24"/>
          <w:szCs w:val="24"/>
        </w:rPr>
        <w:t xml:space="preserve"> </w:t>
      </w:r>
      <w:r w:rsidRPr="003C7F6D">
        <w:rPr>
          <w:sz w:val="24"/>
          <w:szCs w:val="24"/>
        </w:rPr>
        <w:t>and</w:t>
      </w:r>
    </w:p>
    <w:p w14:paraId="20CBBE2F" w14:textId="3197FA63" w:rsidR="00511610" w:rsidRPr="003C7F6D" w:rsidRDefault="00511610" w:rsidP="003C6728">
      <w:pPr>
        <w:rPr>
          <w:sz w:val="24"/>
          <w:szCs w:val="24"/>
        </w:rPr>
      </w:pPr>
      <w:r w:rsidRPr="003C7F6D">
        <w:rPr>
          <w:sz w:val="24"/>
          <w:szCs w:val="24"/>
        </w:rPr>
        <w:t>#3</w:t>
      </w:r>
      <w:r w:rsidR="002514B0">
        <w:rPr>
          <w:sz w:val="24"/>
          <w:szCs w:val="24"/>
        </w:rPr>
        <w:t xml:space="preserve"> </w:t>
      </w:r>
      <w:r w:rsidRPr="003C7F6D">
        <w:rPr>
          <w:sz w:val="24"/>
          <w:szCs w:val="24"/>
        </w:rPr>
        <w:tab/>
        <w:t>the</w:t>
      </w:r>
      <w:r w:rsidR="002514B0">
        <w:rPr>
          <w:sz w:val="24"/>
          <w:szCs w:val="24"/>
        </w:rPr>
        <w:t xml:space="preserve"> </w:t>
      </w:r>
      <w:r w:rsidRPr="003C7F6D">
        <w:rPr>
          <w:sz w:val="24"/>
          <w:szCs w:val="24"/>
        </w:rPr>
        <w:t>fact</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burden</w:t>
      </w:r>
      <w:r w:rsidR="002514B0">
        <w:rPr>
          <w:sz w:val="24"/>
          <w:szCs w:val="24"/>
        </w:rPr>
        <w:t xml:space="preserve"> </w:t>
      </w:r>
      <w:r w:rsidRPr="003C7F6D">
        <w:rPr>
          <w:sz w:val="24"/>
          <w:szCs w:val="24"/>
        </w:rPr>
        <w:t>decreed</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R-15-140</w:t>
      </w:r>
      <w:r w:rsidR="002514B0">
        <w:rPr>
          <w:sz w:val="24"/>
          <w:szCs w:val="24"/>
        </w:rPr>
        <w:t xml:space="preserve"> </w:t>
      </w:r>
      <w:r w:rsidRPr="003C7F6D">
        <w:rPr>
          <w:sz w:val="24"/>
          <w:szCs w:val="24"/>
        </w:rPr>
        <w:t>does</w:t>
      </w:r>
      <w:r w:rsidR="002514B0">
        <w:rPr>
          <w:sz w:val="24"/>
          <w:szCs w:val="24"/>
        </w:rPr>
        <w:t xml:space="preserve"> </w:t>
      </w:r>
      <w:r w:rsidRPr="003C7F6D">
        <w:rPr>
          <w:sz w:val="24"/>
          <w:szCs w:val="24"/>
        </w:rPr>
        <w:t>not</w:t>
      </w:r>
      <w:r w:rsidR="002514B0">
        <w:rPr>
          <w:sz w:val="24"/>
          <w:szCs w:val="24"/>
        </w:rPr>
        <w:t xml:space="preserve"> </w:t>
      </w:r>
      <w:r w:rsidRPr="003C7F6D">
        <w:rPr>
          <w:sz w:val="24"/>
          <w:szCs w:val="24"/>
        </w:rPr>
        <w:t>cause</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same</w:t>
      </w:r>
      <w:r w:rsidR="002514B0">
        <w:rPr>
          <w:sz w:val="24"/>
          <w:szCs w:val="24"/>
        </w:rPr>
        <w:t xml:space="preserve"> </w:t>
      </w:r>
      <w:r w:rsidRPr="003C7F6D">
        <w:rPr>
          <w:sz w:val="24"/>
          <w:szCs w:val="24"/>
        </w:rPr>
        <w:t>burden</w:t>
      </w:r>
      <w:r w:rsidR="002514B0">
        <w:rPr>
          <w:sz w:val="24"/>
          <w:szCs w:val="24"/>
        </w:rPr>
        <w:t xml:space="preserve"> </w:t>
      </w:r>
      <w:r w:rsidRPr="003C7F6D">
        <w:rPr>
          <w:sz w:val="24"/>
          <w:szCs w:val="24"/>
        </w:rPr>
        <w:t>upon</w:t>
      </w:r>
      <w:r w:rsidR="002514B0">
        <w:rPr>
          <w:sz w:val="24"/>
          <w:szCs w:val="24"/>
        </w:rPr>
        <w:t xml:space="preserve"> </w:t>
      </w:r>
      <w:r w:rsidRPr="003C7F6D">
        <w:rPr>
          <w:sz w:val="24"/>
          <w:szCs w:val="24"/>
        </w:rPr>
        <w:t>any</w:t>
      </w:r>
      <w:r w:rsidR="002514B0">
        <w:rPr>
          <w:sz w:val="24"/>
          <w:szCs w:val="24"/>
        </w:rPr>
        <w:t xml:space="preserve"> </w:t>
      </w:r>
      <w:r w:rsidRPr="003C7F6D">
        <w:rPr>
          <w:sz w:val="24"/>
          <w:szCs w:val="24"/>
        </w:rPr>
        <w:t>other</w:t>
      </w:r>
      <w:r w:rsidR="002514B0">
        <w:rPr>
          <w:sz w:val="24"/>
          <w:szCs w:val="24"/>
        </w:rPr>
        <w:t xml:space="preserve"> </w:t>
      </w:r>
      <w:r w:rsidRPr="003C7F6D">
        <w:rPr>
          <w:sz w:val="24"/>
          <w:szCs w:val="24"/>
        </w:rPr>
        <w:t>actor.</w:t>
      </w:r>
    </w:p>
    <w:p w14:paraId="434BD8A2" w14:textId="77777777" w:rsidR="00511610" w:rsidRPr="003C7F6D" w:rsidRDefault="00511610" w:rsidP="003C6728">
      <w:pPr>
        <w:rPr>
          <w:b/>
          <w:sz w:val="24"/>
          <w:szCs w:val="24"/>
        </w:rPr>
      </w:pPr>
    </w:p>
    <w:p w14:paraId="4FC2843C" w14:textId="29CCFE04" w:rsidR="00511610" w:rsidRPr="003C7F6D" w:rsidRDefault="00511610" w:rsidP="003C6728">
      <w:pPr>
        <w:rPr>
          <w:b/>
          <w:sz w:val="24"/>
          <w:szCs w:val="24"/>
        </w:rPr>
      </w:pPr>
      <w:r w:rsidRPr="003C7F6D">
        <w:rPr>
          <w:b/>
          <w:sz w:val="24"/>
          <w:szCs w:val="24"/>
        </w:rPr>
        <w:t>Q10.</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0D3D70" w:rsidRPr="003C7F6D">
        <w:rPr>
          <w:b/>
          <w:sz w:val="24"/>
          <w:szCs w:val="24"/>
        </w:rPr>
        <w:t>:</w:t>
      </w:r>
      <w:r w:rsidR="002514B0">
        <w:rPr>
          <w:b/>
          <w:sz w:val="24"/>
          <w:szCs w:val="24"/>
        </w:rPr>
        <w:t xml:space="preserve"> </w:t>
      </w:r>
      <w:r w:rsidR="000D3D70" w:rsidRPr="003C7F6D">
        <w:rPr>
          <w:b/>
          <w:sz w:val="24"/>
          <w:szCs w:val="24"/>
        </w:rPr>
        <w:t>“</w:t>
      </w:r>
      <w:r w:rsidRPr="003C7F6D">
        <w:rPr>
          <w:b/>
          <w:sz w:val="24"/>
          <w:szCs w:val="24"/>
        </w:rPr>
        <w:t>CLEP’s</w:t>
      </w:r>
      <w:r w:rsidR="002514B0">
        <w:rPr>
          <w:b/>
          <w:sz w:val="24"/>
          <w:szCs w:val="24"/>
        </w:rPr>
        <w:t xml:space="preserve"> </w:t>
      </w:r>
      <w:r w:rsidRPr="003C7F6D">
        <w:rPr>
          <w:b/>
          <w:sz w:val="24"/>
          <w:szCs w:val="24"/>
        </w:rPr>
        <w:t>community</w:t>
      </w:r>
      <w:r w:rsidR="002514B0">
        <w:rPr>
          <w:b/>
          <w:sz w:val="24"/>
          <w:szCs w:val="24"/>
        </w:rPr>
        <w:t xml:space="preserve"> </w:t>
      </w:r>
      <w:r w:rsidRPr="003C7F6D">
        <w:rPr>
          <w:b/>
          <w:sz w:val="24"/>
          <w:szCs w:val="24"/>
        </w:rPr>
        <w:t>solar</w:t>
      </w:r>
      <w:r w:rsidR="002514B0">
        <w:rPr>
          <w:b/>
          <w:sz w:val="24"/>
          <w:szCs w:val="24"/>
        </w:rPr>
        <w:t xml:space="preserve"> </w:t>
      </w:r>
      <w:r w:rsidRPr="003C7F6D">
        <w:rPr>
          <w:b/>
          <w:sz w:val="24"/>
          <w:szCs w:val="24"/>
        </w:rPr>
        <w:t>proposal</w:t>
      </w:r>
      <w:r w:rsidR="002514B0">
        <w:rPr>
          <w:b/>
          <w:sz w:val="24"/>
          <w:szCs w:val="24"/>
        </w:rPr>
        <w:t xml:space="preserve"> </w:t>
      </w:r>
      <w:r w:rsidRPr="003C7F6D">
        <w:rPr>
          <w:b/>
          <w:sz w:val="24"/>
          <w:szCs w:val="24"/>
        </w:rPr>
        <w:t>does</w:t>
      </w:r>
      <w:r w:rsidR="002514B0">
        <w:rPr>
          <w:b/>
          <w:sz w:val="24"/>
          <w:szCs w:val="24"/>
        </w:rPr>
        <w:t xml:space="preserve"> </w:t>
      </w:r>
      <w:r w:rsidRPr="003C7F6D">
        <w:rPr>
          <w:b/>
          <w:sz w:val="24"/>
          <w:szCs w:val="24"/>
        </w:rPr>
        <w:t>not</w:t>
      </w:r>
      <w:r w:rsidR="002514B0">
        <w:rPr>
          <w:b/>
          <w:sz w:val="24"/>
          <w:szCs w:val="24"/>
        </w:rPr>
        <w:t xml:space="preserve"> </w:t>
      </w:r>
      <w:r w:rsidRPr="003C7F6D">
        <w:rPr>
          <w:b/>
          <w:sz w:val="24"/>
          <w:szCs w:val="24"/>
        </w:rPr>
        <w:t>provide</w:t>
      </w:r>
      <w:r w:rsidR="002514B0">
        <w:rPr>
          <w:b/>
          <w:sz w:val="24"/>
          <w:szCs w:val="24"/>
        </w:rPr>
        <w:t xml:space="preserve"> </w:t>
      </w:r>
      <w:r w:rsidRPr="003C7F6D">
        <w:rPr>
          <w:b/>
          <w:sz w:val="24"/>
          <w:szCs w:val="24"/>
        </w:rPr>
        <w:t>a</w:t>
      </w:r>
      <w:r w:rsidR="002514B0">
        <w:rPr>
          <w:b/>
          <w:sz w:val="24"/>
          <w:szCs w:val="24"/>
        </w:rPr>
        <w:t xml:space="preserve"> </w:t>
      </w:r>
      <w:r w:rsidRPr="003C7F6D">
        <w:rPr>
          <w:b/>
          <w:sz w:val="24"/>
          <w:szCs w:val="24"/>
        </w:rPr>
        <w:t>funding</w:t>
      </w:r>
      <w:r w:rsidR="002514B0">
        <w:rPr>
          <w:b/>
          <w:sz w:val="24"/>
          <w:szCs w:val="24"/>
        </w:rPr>
        <w:t xml:space="preserve"> </w:t>
      </w:r>
      <w:r w:rsidRPr="003C7F6D">
        <w:rPr>
          <w:b/>
          <w:sz w:val="24"/>
          <w:szCs w:val="24"/>
        </w:rPr>
        <w:t>mechanism.”</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p.92.</w:t>
      </w:r>
    </w:p>
    <w:p w14:paraId="7457D347" w14:textId="465F7C31"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How</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can</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applied</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defined</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17</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BSI’s</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An</w:t>
      </w:r>
      <w:r w:rsidR="002514B0">
        <w:rPr>
          <w:sz w:val="24"/>
          <w:szCs w:val="24"/>
        </w:rPr>
        <w:t xml:space="preserve"> </w:t>
      </w:r>
      <w:r w:rsidRPr="003C7F6D">
        <w:rPr>
          <w:sz w:val="24"/>
          <w:szCs w:val="24"/>
        </w:rPr>
        <w:t>example</w:t>
      </w:r>
      <w:r w:rsidR="002514B0">
        <w:rPr>
          <w:sz w:val="24"/>
          <w:szCs w:val="24"/>
        </w:rPr>
        <w:t xml:space="preserve"> </w:t>
      </w:r>
      <w:r w:rsidRPr="003C7F6D">
        <w:rPr>
          <w:sz w:val="24"/>
          <w:szCs w:val="24"/>
        </w:rPr>
        <w:t>calculation</w:t>
      </w:r>
      <w:r w:rsidR="002514B0">
        <w:rPr>
          <w:sz w:val="24"/>
          <w:szCs w:val="24"/>
        </w:rPr>
        <w:t xml:space="preserve"> </w:t>
      </w:r>
      <w:r w:rsidRPr="003C7F6D">
        <w:rPr>
          <w:sz w:val="24"/>
          <w:szCs w:val="24"/>
        </w:rPr>
        <w:t>using</w:t>
      </w:r>
      <w:r w:rsidR="002514B0">
        <w:rPr>
          <w:sz w:val="24"/>
          <w:szCs w:val="24"/>
        </w:rPr>
        <w:t xml:space="preserve"> </w:t>
      </w:r>
      <w:r w:rsidRPr="003C7F6D">
        <w:rPr>
          <w:sz w:val="24"/>
          <w:szCs w:val="24"/>
        </w:rPr>
        <w:t>CLEP’s</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formula</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provided</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31</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9</w:t>
      </w:r>
      <w:r w:rsidR="002514B0">
        <w:rPr>
          <w:sz w:val="24"/>
          <w:szCs w:val="24"/>
        </w:rPr>
        <w:t xml:space="preserve"> </w:t>
      </w:r>
      <w:r w:rsidRPr="003C7F6D">
        <w:rPr>
          <w:sz w:val="24"/>
          <w:szCs w:val="24"/>
        </w:rPr>
        <w:t>testimony.</w:t>
      </w:r>
    </w:p>
    <w:p w14:paraId="685130B1" w14:textId="77777777" w:rsidR="00511610" w:rsidRPr="003C7F6D" w:rsidRDefault="00511610" w:rsidP="003C6728">
      <w:pPr>
        <w:rPr>
          <w:sz w:val="24"/>
          <w:szCs w:val="24"/>
        </w:rPr>
      </w:pPr>
    </w:p>
    <w:p w14:paraId="0DC5F7B5" w14:textId="62924763" w:rsidR="00511610" w:rsidRPr="003C7F6D" w:rsidRDefault="00511610" w:rsidP="003C6728">
      <w:pPr>
        <w:rPr>
          <w:b/>
          <w:sz w:val="24"/>
          <w:szCs w:val="24"/>
        </w:rPr>
      </w:pPr>
      <w:r w:rsidRPr="003C7F6D">
        <w:rPr>
          <w:b/>
          <w:sz w:val="24"/>
          <w:szCs w:val="24"/>
        </w:rPr>
        <w:t>Q11.</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wrong</w:t>
      </w:r>
      <w:r w:rsidR="002514B0">
        <w:rPr>
          <w:b/>
          <w:sz w:val="24"/>
          <w:szCs w:val="24"/>
        </w:rPr>
        <w:t xml:space="preserve"> </w:t>
      </w:r>
      <w:r w:rsidRPr="003C7F6D">
        <w:rPr>
          <w:b/>
          <w:sz w:val="24"/>
          <w:szCs w:val="24"/>
        </w:rPr>
        <w:t>with</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statement:</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“requires</w:t>
      </w:r>
      <w:r w:rsidR="002514B0">
        <w:rPr>
          <w:b/>
          <w:sz w:val="24"/>
          <w:szCs w:val="24"/>
        </w:rPr>
        <w:t xml:space="preserve"> </w:t>
      </w:r>
      <w:r w:rsidRPr="003C7F6D">
        <w:rPr>
          <w:b/>
          <w:sz w:val="24"/>
          <w:szCs w:val="24"/>
        </w:rPr>
        <w:t>an</w:t>
      </w:r>
      <w:r w:rsidR="002514B0">
        <w:rPr>
          <w:b/>
          <w:sz w:val="24"/>
          <w:szCs w:val="24"/>
        </w:rPr>
        <w:t xml:space="preserve"> </w:t>
      </w:r>
      <w:r w:rsidRPr="003C7F6D">
        <w:rPr>
          <w:b/>
          <w:sz w:val="24"/>
          <w:szCs w:val="24"/>
        </w:rPr>
        <w:t>extensive</w:t>
      </w:r>
      <w:r w:rsidR="002514B0">
        <w:rPr>
          <w:b/>
          <w:sz w:val="24"/>
          <w:szCs w:val="24"/>
        </w:rPr>
        <w:t xml:space="preserve"> </w:t>
      </w:r>
      <w:r w:rsidRPr="003C7F6D">
        <w:rPr>
          <w:b/>
          <w:sz w:val="24"/>
          <w:szCs w:val="24"/>
        </w:rPr>
        <w:t>amount</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setup</w:t>
      </w:r>
      <w:r w:rsidR="002514B0">
        <w:rPr>
          <w:b/>
          <w:sz w:val="24"/>
          <w:szCs w:val="24"/>
        </w:rPr>
        <w:t xml:space="preserve"> </w:t>
      </w:r>
      <w:r w:rsidRPr="003C7F6D">
        <w:rPr>
          <w:b/>
          <w:sz w:val="24"/>
          <w:szCs w:val="24"/>
        </w:rPr>
        <w:t>for</w:t>
      </w:r>
      <w:r w:rsidR="002514B0">
        <w:rPr>
          <w:b/>
          <w:sz w:val="24"/>
          <w:szCs w:val="24"/>
        </w:rPr>
        <w:t xml:space="preserve"> </w:t>
      </w:r>
      <w:r w:rsidRPr="003C7F6D">
        <w:rPr>
          <w:b/>
          <w:sz w:val="24"/>
          <w:szCs w:val="24"/>
        </w:rPr>
        <w:t>each</w:t>
      </w:r>
      <w:r w:rsidR="002514B0">
        <w:rPr>
          <w:b/>
          <w:sz w:val="24"/>
          <w:szCs w:val="24"/>
        </w:rPr>
        <w:t xml:space="preserve"> </w:t>
      </w:r>
      <w:r w:rsidRPr="003C7F6D">
        <w:rPr>
          <w:b/>
          <w:sz w:val="24"/>
          <w:szCs w:val="24"/>
        </w:rPr>
        <w:t>customer</w:t>
      </w:r>
      <w:r w:rsidR="002514B0">
        <w:rPr>
          <w:b/>
          <w:sz w:val="24"/>
          <w:szCs w:val="24"/>
        </w:rPr>
        <w:t xml:space="preserve"> </w:t>
      </w:r>
      <w:r w:rsidRPr="003C7F6D">
        <w:rPr>
          <w:b/>
          <w:sz w:val="24"/>
          <w:szCs w:val="24"/>
        </w:rPr>
        <w:t>–</w:t>
      </w:r>
      <w:r w:rsidR="002514B0">
        <w:rPr>
          <w:b/>
          <w:sz w:val="24"/>
          <w:szCs w:val="24"/>
        </w:rPr>
        <w:t xml:space="preserve"> </w:t>
      </w:r>
      <w:r w:rsidRPr="003C7F6D">
        <w:rPr>
          <w:b/>
          <w:sz w:val="24"/>
          <w:szCs w:val="24"/>
        </w:rPr>
        <w:t>new</w:t>
      </w:r>
      <w:r w:rsidR="002514B0">
        <w:rPr>
          <w:b/>
          <w:sz w:val="24"/>
          <w:szCs w:val="24"/>
        </w:rPr>
        <w:t xml:space="preserve"> </w:t>
      </w:r>
      <w:r w:rsidRPr="003C7F6D">
        <w:rPr>
          <w:b/>
          <w:sz w:val="24"/>
          <w:szCs w:val="24"/>
        </w:rPr>
        <w:t>metering</w:t>
      </w:r>
      <w:r w:rsidR="002514B0">
        <w:rPr>
          <w:b/>
          <w:sz w:val="24"/>
          <w:szCs w:val="24"/>
        </w:rPr>
        <w:t xml:space="preserve"> </w:t>
      </w:r>
      <w:r w:rsidRPr="003C7F6D">
        <w:rPr>
          <w:b/>
          <w:sz w:val="24"/>
          <w:szCs w:val="24"/>
        </w:rPr>
        <w:t>equipment</w:t>
      </w:r>
      <w:r w:rsidR="002514B0">
        <w:rPr>
          <w:b/>
          <w:sz w:val="24"/>
          <w:szCs w:val="24"/>
        </w:rPr>
        <w:t xml:space="preserve"> </w:t>
      </w:r>
      <w:r w:rsidRPr="003C7F6D">
        <w:rPr>
          <w:b/>
          <w:sz w:val="24"/>
          <w:szCs w:val="24"/>
        </w:rPr>
        <w:t>…”</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R-17-100,</w:t>
      </w:r>
      <w:r w:rsidR="002514B0">
        <w:rPr>
          <w:b/>
          <w:sz w:val="24"/>
          <w:szCs w:val="24"/>
        </w:rPr>
        <w:t xml:space="preserve"> </w:t>
      </w:r>
      <w:r w:rsidRPr="003C7F6D">
        <w:rPr>
          <w:b/>
          <w:sz w:val="24"/>
          <w:szCs w:val="24"/>
        </w:rPr>
        <w:t>p.91.</w:t>
      </w:r>
    </w:p>
    <w:p w14:paraId="7EBC8276" w14:textId="36BC9DF6"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asserted</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had</w:t>
      </w:r>
      <w:r w:rsidR="002514B0">
        <w:rPr>
          <w:sz w:val="24"/>
          <w:szCs w:val="24"/>
        </w:rPr>
        <w:t xml:space="preserve"> </w:t>
      </w:r>
      <w:r w:rsidRPr="003C7F6D">
        <w:rPr>
          <w:sz w:val="24"/>
          <w:szCs w:val="24"/>
        </w:rPr>
        <w:t>many</w:t>
      </w:r>
      <w:r w:rsidR="002514B0">
        <w:rPr>
          <w:sz w:val="24"/>
          <w:szCs w:val="24"/>
        </w:rPr>
        <w:t xml:space="preserve"> </w:t>
      </w:r>
      <w:r w:rsidRPr="003C7F6D">
        <w:rPr>
          <w:sz w:val="24"/>
          <w:szCs w:val="24"/>
        </w:rPr>
        <w:t>times</w:t>
      </w:r>
      <w:r w:rsidR="002514B0">
        <w:rPr>
          <w:sz w:val="24"/>
          <w:szCs w:val="24"/>
        </w:rPr>
        <w:t xml:space="preserve"> </w:t>
      </w:r>
      <w:r w:rsidRPr="003C7F6D">
        <w:rPr>
          <w:sz w:val="24"/>
          <w:szCs w:val="24"/>
        </w:rPr>
        <w:t>promised</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it</w:t>
      </w:r>
      <w:r w:rsidR="002514B0">
        <w:rPr>
          <w:sz w:val="24"/>
          <w:szCs w:val="24"/>
        </w:rPr>
        <w:t xml:space="preserve"> </w:t>
      </w:r>
      <w:r w:rsidRPr="003C7F6D">
        <w:rPr>
          <w:sz w:val="24"/>
          <w:szCs w:val="24"/>
        </w:rPr>
        <w:t>would</w:t>
      </w:r>
      <w:r w:rsidR="002514B0">
        <w:rPr>
          <w:sz w:val="24"/>
          <w:szCs w:val="24"/>
        </w:rPr>
        <w:t xml:space="preserve"> </w:t>
      </w:r>
      <w:r w:rsidRPr="003C7F6D">
        <w:rPr>
          <w:sz w:val="24"/>
          <w:szCs w:val="24"/>
        </w:rPr>
        <w:t>roll</w:t>
      </w:r>
      <w:r w:rsidR="002514B0">
        <w:rPr>
          <w:sz w:val="24"/>
          <w:szCs w:val="24"/>
        </w:rPr>
        <w:t xml:space="preserve"> </w:t>
      </w:r>
      <w:r w:rsidRPr="003C7F6D">
        <w:rPr>
          <w:sz w:val="24"/>
          <w:szCs w:val="24"/>
        </w:rPr>
        <w:t>out</w:t>
      </w:r>
      <w:r w:rsidR="002514B0">
        <w:rPr>
          <w:sz w:val="24"/>
          <w:szCs w:val="24"/>
        </w:rPr>
        <w:t xml:space="preserve"> </w:t>
      </w:r>
      <w:r w:rsidRPr="003C7F6D">
        <w:rPr>
          <w:sz w:val="24"/>
          <w:szCs w:val="24"/>
        </w:rPr>
        <w:t>Smart</w:t>
      </w:r>
      <w:r w:rsidR="002514B0">
        <w:rPr>
          <w:sz w:val="24"/>
          <w:szCs w:val="24"/>
        </w:rPr>
        <w:t xml:space="preserve"> </w:t>
      </w:r>
      <w:r w:rsidRPr="003C7F6D">
        <w:rPr>
          <w:sz w:val="24"/>
          <w:szCs w:val="24"/>
        </w:rPr>
        <w:t>Meters,</w:t>
      </w:r>
      <w:r w:rsidR="002514B0">
        <w:rPr>
          <w:sz w:val="24"/>
          <w:szCs w:val="24"/>
        </w:rPr>
        <w:t xml:space="preserve"> </w:t>
      </w:r>
      <w:r w:rsidRPr="003C7F6D">
        <w:rPr>
          <w:sz w:val="24"/>
          <w:szCs w:val="24"/>
        </w:rPr>
        <w:lastRenderedPageBreak/>
        <w:t>(a.k.a.</w:t>
      </w:r>
      <w:r w:rsidR="002514B0">
        <w:rPr>
          <w:sz w:val="24"/>
          <w:szCs w:val="24"/>
        </w:rPr>
        <w:t xml:space="preserve"> </w:t>
      </w:r>
      <w:r w:rsidRPr="003C7F6D">
        <w:rPr>
          <w:sz w:val="24"/>
          <w:szCs w:val="24"/>
        </w:rPr>
        <w:t>AMI)</w:t>
      </w:r>
      <w:r w:rsidR="002514B0">
        <w:rPr>
          <w:sz w:val="24"/>
          <w:szCs w:val="24"/>
        </w:rPr>
        <w:t xml:space="preserve"> </w:t>
      </w:r>
      <w:r w:rsidRPr="003C7F6D">
        <w:rPr>
          <w:sz w:val="24"/>
          <w:szCs w:val="24"/>
        </w:rPr>
        <w:t>during</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IRP</w:t>
      </w:r>
      <w:r w:rsidR="002514B0">
        <w:rPr>
          <w:sz w:val="24"/>
          <w:szCs w:val="24"/>
        </w:rPr>
        <w:t xml:space="preserve"> </w:t>
      </w:r>
      <w:r w:rsidRPr="003C7F6D">
        <w:rPr>
          <w:sz w:val="24"/>
          <w:szCs w:val="24"/>
        </w:rPr>
        <w:t>proceedings</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was</w:t>
      </w:r>
      <w:r w:rsidR="002514B0">
        <w:rPr>
          <w:sz w:val="24"/>
          <w:szCs w:val="24"/>
        </w:rPr>
        <w:t xml:space="preserve"> </w:t>
      </w:r>
      <w:r w:rsidRPr="003C7F6D">
        <w:rPr>
          <w:sz w:val="24"/>
          <w:szCs w:val="24"/>
        </w:rPr>
        <w:t>disputed</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both</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Advisors.</w:t>
      </w:r>
      <w:r w:rsidR="002514B0">
        <w:rPr>
          <w:sz w:val="24"/>
          <w:szCs w:val="24"/>
        </w:rPr>
        <w:t xml:space="preserve"> </w:t>
      </w:r>
      <w:r w:rsidRPr="003C7F6D">
        <w:rPr>
          <w:sz w:val="24"/>
          <w:szCs w:val="24"/>
        </w:rPr>
        <w:t>However,</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2018,</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approved</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roll</w:t>
      </w:r>
      <w:r w:rsidR="002514B0">
        <w:rPr>
          <w:sz w:val="24"/>
          <w:szCs w:val="24"/>
        </w:rPr>
        <w:t xml:space="preserve"> </w:t>
      </w:r>
      <w:r w:rsidRPr="003C7F6D">
        <w:rPr>
          <w:sz w:val="24"/>
          <w:szCs w:val="24"/>
        </w:rPr>
        <w:t>out</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Smart</w:t>
      </w:r>
      <w:r w:rsidR="002514B0">
        <w:rPr>
          <w:sz w:val="24"/>
          <w:szCs w:val="24"/>
        </w:rPr>
        <w:t xml:space="preserve"> </w:t>
      </w:r>
      <w:r w:rsidRPr="003C7F6D">
        <w:rPr>
          <w:sz w:val="24"/>
          <w:szCs w:val="24"/>
        </w:rPr>
        <w:t>Meters</w:t>
      </w:r>
      <w:r w:rsidR="002514B0">
        <w:rPr>
          <w:sz w:val="24"/>
          <w:szCs w:val="24"/>
        </w:rPr>
        <w:t xml:space="preserve"> </w:t>
      </w:r>
      <w:r w:rsidRPr="003C7F6D">
        <w:rPr>
          <w:sz w:val="24"/>
          <w:szCs w:val="24"/>
        </w:rPr>
        <w:t>which</w:t>
      </w:r>
      <w:r w:rsidR="002514B0">
        <w:rPr>
          <w:sz w:val="24"/>
          <w:szCs w:val="24"/>
        </w:rPr>
        <w:t xml:space="preserve"> </w:t>
      </w:r>
      <w:r w:rsidRPr="003C7F6D">
        <w:rPr>
          <w:sz w:val="24"/>
          <w:szCs w:val="24"/>
        </w:rPr>
        <w:t>I</w:t>
      </w:r>
      <w:r w:rsidR="002514B0">
        <w:rPr>
          <w:sz w:val="24"/>
          <w:szCs w:val="24"/>
        </w:rPr>
        <w:t xml:space="preserve"> </w:t>
      </w:r>
      <w:r w:rsidRPr="003C7F6D">
        <w:rPr>
          <w:sz w:val="24"/>
          <w:szCs w:val="24"/>
        </w:rPr>
        <w:t>understand</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proceeding.</w:t>
      </w:r>
      <w:r w:rsidR="002514B0">
        <w:rPr>
          <w:sz w:val="24"/>
          <w:szCs w:val="24"/>
        </w:rPr>
        <w:t xml:space="preserve"> </w:t>
      </w:r>
    </w:p>
    <w:p w14:paraId="20E5F369" w14:textId="77777777" w:rsidR="00511610" w:rsidRPr="003C7F6D" w:rsidRDefault="00511610" w:rsidP="003C6728">
      <w:pPr>
        <w:rPr>
          <w:sz w:val="24"/>
          <w:szCs w:val="24"/>
        </w:rPr>
      </w:pPr>
    </w:p>
    <w:p w14:paraId="30B7D771" w14:textId="783A86C9" w:rsidR="00511610" w:rsidRPr="003C7F6D" w:rsidRDefault="00511610" w:rsidP="003C6728">
      <w:pPr>
        <w:rPr>
          <w:sz w:val="24"/>
          <w:szCs w:val="24"/>
        </w:rPr>
      </w:pPr>
      <w:r w:rsidRPr="003C7F6D">
        <w:rPr>
          <w:b/>
          <w:sz w:val="24"/>
          <w:szCs w:val="24"/>
        </w:rPr>
        <w:t>Q12.</w:t>
      </w:r>
      <w:r w:rsidR="002514B0">
        <w:rPr>
          <w:b/>
          <w:sz w:val="24"/>
          <w:szCs w:val="24"/>
        </w:rPr>
        <w:t xml:space="preserve"> </w:t>
      </w:r>
      <w:r w:rsidRPr="003C7F6D">
        <w:rPr>
          <w:b/>
          <w:sz w:val="24"/>
          <w:szCs w:val="24"/>
        </w:rPr>
        <w:tab/>
        <w:t>Is</w:t>
      </w:r>
      <w:r w:rsidR="002514B0">
        <w:rPr>
          <w:b/>
          <w:sz w:val="24"/>
          <w:szCs w:val="24"/>
        </w:rPr>
        <w:t xml:space="preserve"> </w:t>
      </w:r>
      <w:r w:rsidRPr="003C7F6D">
        <w:rPr>
          <w:b/>
          <w:sz w:val="24"/>
          <w:szCs w:val="24"/>
        </w:rPr>
        <w:t>it</w:t>
      </w:r>
      <w:r w:rsidR="002514B0">
        <w:rPr>
          <w:b/>
          <w:sz w:val="24"/>
          <w:szCs w:val="24"/>
        </w:rPr>
        <w:t xml:space="preserve"> </w:t>
      </w:r>
      <w:r w:rsidRPr="003C7F6D">
        <w:rPr>
          <w:b/>
          <w:sz w:val="24"/>
          <w:szCs w:val="24"/>
        </w:rPr>
        <w:t>true</w:t>
      </w:r>
      <w:r w:rsidR="002514B0">
        <w:rPr>
          <w:b/>
          <w:sz w:val="24"/>
          <w:szCs w:val="24"/>
        </w:rPr>
        <w:t xml:space="preserve"> </w:t>
      </w:r>
      <w:r w:rsidRPr="003C7F6D">
        <w:rPr>
          <w:b/>
          <w:sz w:val="24"/>
          <w:szCs w:val="24"/>
        </w:rPr>
        <w:t>that</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conditions</w:t>
      </w:r>
      <w:r w:rsidR="002514B0">
        <w:rPr>
          <w:b/>
          <w:sz w:val="24"/>
          <w:szCs w:val="24"/>
        </w:rPr>
        <w:t xml:space="preserve"> </w:t>
      </w:r>
      <w:r w:rsidRPr="003C7F6D">
        <w:rPr>
          <w:b/>
          <w:sz w:val="24"/>
          <w:szCs w:val="24"/>
        </w:rPr>
        <w:t>that</w:t>
      </w:r>
      <w:r w:rsidR="002514B0">
        <w:rPr>
          <w:b/>
          <w:sz w:val="24"/>
          <w:szCs w:val="24"/>
        </w:rPr>
        <w:t xml:space="preserve"> </w:t>
      </w:r>
      <w:r w:rsidRPr="003C7F6D">
        <w:rPr>
          <w:b/>
          <w:sz w:val="24"/>
          <w:szCs w:val="24"/>
        </w:rPr>
        <w:t>prevailed</w:t>
      </w:r>
      <w:r w:rsidR="002514B0">
        <w:rPr>
          <w:b/>
          <w:sz w:val="24"/>
          <w:szCs w:val="24"/>
        </w:rPr>
        <w:t xml:space="preserve"> </w:t>
      </w:r>
      <w:r w:rsidRPr="003C7F6D">
        <w:rPr>
          <w:b/>
          <w:sz w:val="24"/>
          <w:szCs w:val="24"/>
        </w:rPr>
        <w:t>in</w:t>
      </w:r>
      <w:r w:rsidR="002514B0">
        <w:rPr>
          <w:b/>
          <w:sz w:val="24"/>
          <w:szCs w:val="24"/>
        </w:rPr>
        <w:t xml:space="preserve"> </w:t>
      </w:r>
      <w:r w:rsidRPr="003C7F6D">
        <w:rPr>
          <w:b/>
          <w:sz w:val="24"/>
          <w:szCs w:val="24"/>
        </w:rPr>
        <w:t>2017</w:t>
      </w:r>
      <w:r w:rsidR="002514B0">
        <w:rPr>
          <w:b/>
          <w:sz w:val="24"/>
          <w:szCs w:val="24"/>
        </w:rPr>
        <w:t xml:space="preserve"> </w:t>
      </w:r>
      <w:r w:rsidRPr="003C7F6D">
        <w:rPr>
          <w:b/>
          <w:sz w:val="24"/>
          <w:szCs w:val="24"/>
        </w:rPr>
        <w:t>are</w:t>
      </w:r>
      <w:r w:rsidR="002514B0">
        <w:rPr>
          <w:b/>
          <w:sz w:val="24"/>
          <w:szCs w:val="24"/>
        </w:rPr>
        <w:t xml:space="preserve"> </w:t>
      </w:r>
      <w:r w:rsidRPr="003C7F6D">
        <w:rPr>
          <w:b/>
          <w:sz w:val="24"/>
          <w:szCs w:val="24"/>
        </w:rPr>
        <w:t>not</w:t>
      </w:r>
      <w:r w:rsidR="002514B0">
        <w:rPr>
          <w:b/>
          <w:sz w:val="24"/>
          <w:szCs w:val="24"/>
        </w:rPr>
        <w:t xml:space="preserve"> </w:t>
      </w:r>
      <w:r w:rsidRPr="003C7F6D">
        <w:rPr>
          <w:b/>
          <w:sz w:val="24"/>
          <w:szCs w:val="24"/>
        </w:rPr>
        <w:t>substantially</w:t>
      </w:r>
      <w:r w:rsidR="002514B0">
        <w:rPr>
          <w:b/>
          <w:sz w:val="24"/>
          <w:szCs w:val="24"/>
        </w:rPr>
        <w:t xml:space="preserve"> </w:t>
      </w:r>
      <w:r w:rsidRPr="003C7F6D">
        <w:rPr>
          <w:b/>
          <w:sz w:val="24"/>
          <w:szCs w:val="24"/>
        </w:rPr>
        <w:t>different</w:t>
      </w:r>
      <w:r w:rsidR="002514B0">
        <w:rPr>
          <w:b/>
          <w:sz w:val="24"/>
          <w:szCs w:val="24"/>
        </w:rPr>
        <w:t xml:space="preserve"> </w:t>
      </w:r>
      <w:r w:rsidRPr="003C7F6D">
        <w:rPr>
          <w:b/>
          <w:sz w:val="24"/>
          <w:szCs w:val="24"/>
        </w:rPr>
        <w:t>from</w:t>
      </w:r>
      <w:r w:rsidR="002514B0">
        <w:rPr>
          <w:b/>
          <w:sz w:val="24"/>
          <w:szCs w:val="24"/>
        </w:rPr>
        <w:t xml:space="preserve"> </w:t>
      </w:r>
      <w:r w:rsidRPr="003C7F6D">
        <w:rPr>
          <w:b/>
          <w:sz w:val="24"/>
          <w:szCs w:val="24"/>
        </w:rPr>
        <w:t>those</w:t>
      </w:r>
      <w:r w:rsidR="002514B0">
        <w:rPr>
          <w:b/>
          <w:sz w:val="24"/>
          <w:szCs w:val="24"/>
        </w:rPr>
        <w:t xml:space="preserve"> </w:t>
      </w:r>
      <w:r w:rsidRPr="003C7F6D">
        <w:rPr>
          <w:b/>
          <w:sz w:val="24"/>
          <w:szCs w:val="24"/>
        </w:rPr>
        <w:t>present</w:t>
      </w:r>
      <w:r w:rsidR="002514B0">
        <w:rPr>
          <w:b/>
          <w:sz w:val="24"/>
          <w:szCs w:val="24"/>
        </w:rPr>
        <w:t xml:space="preserve"> </w:t>
      </w:r>
      <w:r w:rsidRPr="003C7F6D">
        <w:rPr>
          <w:b/>
          <w:sz w:val="24"/>
          <w:szCs w:val="24"/>
        </w:rPr>
        <w:t>in</w:t>
      </w:r>
      <w:r w:rsidR="002514B0">
        <w:rPr>
          <w:b/>
          <w:sz w:val="24"/>
          <w:szCs w:val="24"/>
        </w:rPr>
        <w:t xml:space="preserve"> </w:t>
      </w:r>
      <w:r w:rsidR="000D3D70" w:rsidRPr="003C7F6D">
        <w:rPr>
          <w:b/>
          <w:sz w:val="24"/>
          <w:szCs w:val="24"/>
        </w:rPr>
        <w:t>2019?</w:t>
      </w:r>
    </w:p>
    <w:p w14:paraId="17D0CACB" w14:textId="10E13395"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No,</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situation</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greatly</w:t>
      </w:r>
      <w:r w:rsidR="002514B0">
        <w:rPr>
          <w:sz w:val="24"/>
          <w:szCs w:val="24"/>
        </w:rPr>
        <w:t xml:space="preserve"> </w:t>
      </w:r>
      <w:r w:rsidRPr="003C7F6D">
        <w:rPr>
          <w:sz w:val="24"/>
          <w:szCs w:val="24"/>
        </w:rPr>
        <w:t>changed</w:t>
      </w:r>
      <w:r w:rsidR="002514B0">
        <w:rPr>
          <w:sz w:val="24"/>
          <w:szCs w:val="24"/>
        </w:rPr>
        <w:t xml:space="preserve"> </w:t>
      </w:r>
      <w:r w:rsidRPr="003C7F6D">
        <w:rPr>
          <w:sz w:val="24"/>
          <w:szCs w:val="24"/>
        </w:rPr>
        <w:t>since</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adoption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Resolutions</w:t>
      </w:r>
      <w:r w:rsidR="002514B0">
        <w:rPr>
          <w:sz w:val="24"/>
          <w:szCs w:val="24"/>
        </w:rPr>
        <w:t xml:space="preserve"> </w:t>
      </w:r>
      <w:r w:rsidRPr="003C7F6D">
        <w:rPr>
          <w:sz w:val="24"/>
          <w:szCs w:val="24"/>
        </w:rPr>
        <w:t>Nos.</w:t>
      </w:r>
      <w:r w:rsidR="002514B0">
        <w:rPr>
          <w:sz w:val="24"/>
          <w:szCs w:val="24"/>
        </w:rPr>
        <w:t xml:space="preserve"> </w:t>
      </w:r>
      <w:r w:rsidRPr="003C7F6D">
        <w:rPr>
          <w:sz w:val="24"/>
          <w:szCs w:val="24"/>
        </w:rPr>
        <w:t>R-16-106</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R-17-100,</w:t>
      </w:r>
      <w:r w:rsidR="002514B0">
        <w:rPr>
          <w:sz w:val="24"/>
          <w:szCs w:val="24"/>
        </w:rPr>
        <w:t xml:space="preserve"> </w:t>
      </w:r>
      <w:r w:rsidRPr="003C7F6D">
        <w:rPr>
          <w:sz w:val="24"/>
          <w:szCs w:val="24"/>
        </w:rPr>
        <w:t>particularly</w:t>
      </w:r>
      <w:r w:rsidR="002514B0">
        <w:rPr>
          <w:sz w:val="24"/>
          <w:szCs w:val="24"/>
        </w:rPr>
        <w:t xml:space="preserve"> </w:t>
      </w:r>
      <w:r w:rsidRPr="003C7F6D">
        <w:rPr>
          <w:sz w:val="24"/>
          <w:szCs w:val="24"/>
        </w:rPr>
        <w:t>regarding</w:t>
      </w:r>
      <w:r w:rsidR="002514B0">
        <w:rPr>
          <w:sz w:val="24"/>
          <w:szCs w:val="24"/>
        </w:rPr>
        <w:t xml:space="preserve"> </w:t>
      </w:r>
      <w:r w:rsidRPr="003C7F6D">
        <w:rPr>
          <w:sz w:val="24"/>
          <w:szCs w:val="24"/>
        </w:rPr>
        <w:t>smart</w:t>
      </w:r>
      <w:r w:rsidR="002514B0">
        <w:rPr>
          <w:sz w:val="24"/>
          <w:szCs w:val="24"/>
        </w:rPr>
        <w:t xml:space="preserve"> </w:t>
      </w:r>
      <w:r w:rsidRPr="003C7F6D">
        <w:rPr>
          <w:sz w:val="24"/>
          <w:szCs w:val="24"/>
        </w:rPr>
        <w:t>meters</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See</w:t>
      </w:r>
      <w:r w:rsidR="002514B0">
        <w:rPr>
          <w:sz w:val="24"/>
          <w:szCs w:val="24"/>
        </w:rPr>
        <w:t xml:space="preserve"> </w:t>
      </w:r>
      <w:r w:rsidRPr="003C7F6D">
        <w:rPr>
          <w:sz w:val="24"/>
          <w:szCs w:val="24"/>
        </w:rPr>
        <w:t>previous</w:t>
      </w:r>
      <w:r w:rsidR="002514B0">
        <w:rPr>
          <w:sz w:val="24"/>
          <w:szCs w:val="24"/>
        </w:rPr>
        <w:t xml:space="preserve"> </w:t>
      </w:r>
      <w:r w:rsidRPr="003C7F6D">
        <w:rPr>
          <w:sz w:val="24"/>
          <w:szCs w:val="24"/>
        </w:rPr>
        <w:t>answer</w:t>
      </w:r>
      <w:r w:rsidR="002514B0">
        <w:rPr>
          <w:sz w:val="24"/>
          <w:szCs w:val="24"/>
        </w:rPr>
        <w:t xml:space="preserve"> </w:t>
      </w:r>
      <w:r w:rsidRPr="003C7F6D">
        <w:rPr>
          <w:sz w:val="24"/>
          <w:szCs w:val="24"/>
        </w:rPr>
        <w:t>regarding</w:t>
      </w:r>
      <w:r w:rsidR="002514B0">
        <w:rPr>
          <w:sz w:val="24"/>
          <w:szCs w:val="24"/>
        </w:rPr>
        <w:t xml:space="preserve"> </w:t>
      </w:r>
      <w:r w:rsidRPr="003C7F6D">
        <w:rPr>
          <w:sz w:val="24"/>
          <w:szCs w:val="24"/>
        </w:rPr>
        <w:t>Smart</w:t>
      </w:r>
      <w:r w:rsidR="002514B0">
        <w:rPr>
          <w:sz w:val="24"/>
          <w:szCs w:val="24"/>
        </w:rPr>
        <w:t xml:space="preserve"> </w:t>
      </w:r>
      <w:r w:rsidRPr="003C7F6D">
        <w:rPr>
          <w:sz w:val="24"/>
          <w:szCs w:val="24"/>
        </w:rPr>
        <w:t>Meters.</w:t>
      </w:r>
      <w:r w:rsidR="002514B0">
        <w:rPr>
          <w:sz w:val="24"/>
          <w:szCs w:val="24"/>
        </w:rPr>
        <w:t xml:space="preserve"> </w:t>
      </w:r>
      <w:r w:rsidRPr="003C7F6D">
        <w:rPr>
          <w:sz w:val="24"/>
          <w:szCs w:val="24"/>
        </w:rPr>
        <w:t>Regarding</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it</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significant</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note</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been</w:t>
      </w:r>
      <w:r w:rsidR="002514B0">
        <w:rPr>
          <w:sz w:val="24"/>
          <w:szCs w:val="24"/>
        </w:rPr>
        <w:t xml:space="preserve"> </w:t>
      </w:r>
      <w:r w:rsidRPr="003C7F6D">
        <w:rPr>
          <w:sz w:val="24"/>
          <w:szCs w:val="24"/>
        </w:rPr>
        <w:t>substantially</w:t>
      </w:r>
      <w:r w:rsidR="002514B0">
        <w:rPr>
          <w:sz w:val="24"/>
          <w:szCs w:val="24"/>
        </w:rPr>
        <w:t xml:space="preserve"> </w:t>
      </w:r>
      <w:r w:rsidRPr="003C7F6D">
        <w:rPr>
          <w:sz w:val="24"/>
          <w:szCs w:val="24"/>
        </w:rPr>
        <w:t>approved</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City</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fact,</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subject</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Mr.</w:t>
      </w:r>
      <w:r w:rsidR="002514B0">
        <w:rPr>
          <w:sz w:val="24"/>
          <w:szCs w:val="24"/>
        </w:rPr>
        <w:t xml:space="preserve"> </w:t>
      </w:r>
      <w:r w:rsidRPr="003C7F6D">
        <w:rPr>
          <w:sz w:val="24"/>
          <w:szCs w:val="24"/>
        </w:rPr>
        <w:t>Owens’</w:t>
      </w:r>
      <w:r w:rsidR="002514B0">
        <w:rPr>
          <w:sz w:val="24"/>
          <w:szCs w:val="24"/>
        </w:rPr>
        <w:t xml:space="preserve"> </w:t>
      </w:r>
      <w:r w:rsidRPr="003C7F6D">
        <w:rPr>
          <w:sz w:val="24"/>
          <w:szCs w:val="24"/>
        </w:rPr>
        <w:t>ENO’s</w:t>
      </w:r>
      <w:r w:rsidR="002514B0">
        <w:rPr>
          <w:sz w:val="24"/>
          <w:szCs w:val="24"/>
        </w:rPr>
        <w:t xml:space="preserve"> </w:t>
      </w:r>
      <w:r w:rsidRPr="003C7F6D">
        <w:rPr>
          <w:sz w:val="24"/>
          <w:szCs w:val="24"/>
        </w:rPr>
        <w:t>rebuttal</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March</w:t>
      </w:r>
      <w:r w:rsidR="002514B0">
        <w:rPr>
          <w:sz w:val="24"/>
          <w:szCs w:val="24"/>
        </w:rPr>
        <w:t xml:space="preserve"> </w:t>
      </w:r>
      <w:r w:rsidRPr="003C7F6D">
        <w:rPr>
          <w:sz w:val="24"/>
          <w:szCs w:val="24"/>
        </w:rPr>
        <w:t>22,</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wherein</w:t>
      </w:r>
      <w:r w:rsidR="002514B0">
        <w:rPr>
          <w:sz w:val="24"/>
          <w:szCs w:val="24"/>
        </w:rPr>
        <w:t xml:space="preserve"> </w:t>
      </w:r>
      <w:r w:rsidRPr="003C7F6D">
        <w:rPr>
          <w:sz w:val="24"/>
          <w:szCs w:val="24"/>
        </w:rPr>
        <w:t>he</w:t>
      </w:r>
      <w:r w:rsidR="002514B0">
        <w:rPr>
          <w:sz w:val="24"/>
          <w:szCs w:val="24"/>
        </w:rPr>
        <w:t xml:space="preserve"> </w:t>
      </w:r>
      <w:r w:rsidRPr="003C7F6D">
        <w:rPr>
          <w:sz w:val="24"/>
          <w:szCs w:val="24"/>
        </w:rPr>
        <w:t>devotes</w:t>
      </w:r>
      <w:r w:rsidR="002514B0">
        <w:rPr>
          <w:sz w:val="24"/>
          <w:szCs w:val="24"/>
        </w:rPr>
        <w:t xml:space="preserve"> </w:t>
      </w:r>
      <w:r w:rsidRPr="003C7F6D">
        <w:rPr>
          <w:sz w:val="24"/>
          <w:szCs w:val="24"/>
        </w:rPr>
        <w:t>ten</w:t>
      </w:r>
      <w:r w:rsidR="002514B0">
        <w:rPr>
          <w:sz w:val="24"/>
          <w:szCs w:val="24"/>
        </w:rPr>
        <w:t xml:space="preserve"> </w:t>
      </w:r>
      <w:r w:rsidRPr="003C7F6D">
        <w:rPr>
          <w:sz w:val="24"/>
          <w:szCs w:val="24"/>
        </w:rPr>
        <w:t>pages</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current</w:t>
      </w:r>
      <w:r w:rsidR="002514B0">
        <w:rPr>
          <w:sz w:val="24"/>
          <w:szCs w:val="24"/>
        </w:rPr>
        <w:t xml:space="preserve"> </w:t>
      </w:r>
      <w:r w:rsidRPr="003C7F6D">
        <w:rPr>
          <w:sz w:val="24"/>
          <w:szCs w:val="24"/>
        </w:rPr>
        <w:t>rollout</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new</w:t>
      </w:r>
      <w:r w:rsidR="002514B0">
        <w:rPr>
          <w:sz w:val="24"/>
          <w:szCs w:val="24"/>
        </w:rPr>
        <w:t xml:space="preserve"> </w:t>
      </w:r>
      <w:r w:rsidRPr="003C7F6D">
        <w:rPr>
          <w:sz w:val="24"/>
          <w:szCs w:val="24"/>
        </w:rPr>
        <w:t>rules</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would</w:t>
      </w:r>
      <w:r w:rsidR="002514B0">
        <w:rPr>
          <w:sz w:val="24"/>
          <w:szCs w:val="24"/>
        </w:rPr>
        <w:t xml:space="preserve"> </w:t>
      </w:r>
      <w:r w:rsidRPr="003C7F6D">
        <w:rPr>
          <w:sz w:val="24"/>
          <w:szCs w:val="24"/>
        </w:rPr>
        <w:t>govern</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New</w:t>
      </w:r>
      <w:r w:rsidR="002514B0">
        <w:rPr>
          <w:sz w:val="24"/>
          <w:szCs w:val="24"/>
        </w:rPr>
        <w:t xml:space="preserve"> </w:t>
      </w:r>
      <w:r w:rsidRPr="003C7F6D">
        <w:rPr>
          <w:sz w:val="24"/>
          <w:szCs w:val="24"/>
        </w:rPr>
        <w:t>Orleans.</w:t>
      </w:r>
      <w:r w:rsidR="002514B0">
        <w:rPr>
          <w:sz w:val="24"/>
          <w:szCs w:val="24"/>
        </w:rPr>
        <w:t xml:space="preserve"> </w:t>
      </w:r>
      <w:r w:rsidRPr="003C7F6D">
        <w:rPr>
          <w:sz w:val="24"/>
          <w:szCs w:val="24"/>
        </w:rPr>
        <w:t>See</w:t>
      </w:r>
      <w:r w:rsidR="002514B0">
        <w:rPr>
          <w:sz w:val="24"/>
          <w:szCs w:val="24"/>
        </w:rPr>
        <w:t xml:space="preserve"> </w:t>
      </w:r>
      <w:r w:rsidRPr="003C7F6D">
        <w:rPr>
          <w:sz w:val="24"/>
          <w:szCs w:val="24"/>
        </w:rPr>
        <w:t>pages</w:t>
      </w:r>
      <w:r w:rsidR="002514B0">
        <w:rPr>
          <w:sz w:val="24"/>
          <w:szCs w:val="24"/>
        </w:rPr>
        <w:t xml:space="preserve"> </w:t>
      </w:r>
      <w:r w:rsidRPr="003C7F6D">
        <w:rPr>
          <w:sz w:val="24"/>
          <w:szCs w:val="24"/>
        </w:rPr>
        <w:t>34</w:t>
      </w:r>
      <w:r w:rsidR="002514B0">
        <w:rPr>
          <w:sz w:val="24"/>
          <w:szCs w:val="24"/>
        </w:rPr>
        <w:t xml:space="preserve"> </w:t>
      </w:r>
      <w:r w:rsidRPr="003C7F6D">
        <w:rPr>
          <w:sz w:val="24"/>
          <w:szCs w:val="24"/>
        </w:rPr>
        <w:t>through</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44.</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December</w:t>
      </w:r>
      <w:r w:rsidR="002514B0">
        <w:rPr>
          <w:sz w:val="24"/>
          <w:szCs w:val="24"/>
        </w:rPr>
        <w:t xml:space="preserve"> </w:t>
      </w:r>
      <w:r w:rsidRPr="003C7F6D">
        <w:rPr>
          <w:sz w:val="24"/>
          <w:szCs w:val="24"/>
        </w:rPr>
        <w:t>13,</w:t>
      </w:r>
      <w:r w:rsidR="002514B0">
        <w:rPr>
          <w:sz w:val="24"/>
          <w:szCs w:val="24"/>
        </w:rPr>
        <w:t xml:space="preserve"> </w:t>
      </w:r>
      <w:r w:rsidRPr="003C7F6D">
        <w:rPr>
          <w:sz w:val="24"/>
          <w:szCs w:val="24"/>
        </w:rPr>
        <w:t>2018,</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Utility</w:t>
      </w:r>
      <w:r w:rsidR="002514B0">
        <w:rPr>
          <w:sz w:val="24"/>
          <w:szCs w:val="24"/>
        </w:rPr>
        <w:t xml:space="preserve"> </w:t>
      </w:r>
      <w:r w:rsidRPr="003C7F6D">
        <w:rPr>
          <w:sz w:val="24"/>
          <w:szCs w:val="24"/>
        </w:rPr>
        <w:t>Committee</w:t>
      </w:r>
      <w:r w:rsidR="002514B0">
        <w:rPr>
          <w:sz w:val="24"/>
          <w:szCs w:val="24"/>
        </w:rPr>
        <w:t xml:space="preserve"> </w:t>
      </w:r>
      <w:r w:rsidRPr="003C7F6D">
        <w:rPr>
          <w:sz w:val="24"/>
          <w:szCs w:val="24"/>
        </w:rPr>
        <w:t>adopted</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R-18-538</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it</w:t>
      </w:r>
      <w:r w:rsidR="002514B0">
        <w:rPr>
          <w:sz w:val="24"/>
          <w:szCs w:val="24"/>
        </w:rPr>
        <w:t xml:space="preserve"> </w:t>
      </w:r>
      <w:r w:rsidRPr="003C7F6D">
        <w:rPr>
          <w:sz w:val="24"/>
          <w:szCs w:val="24"/>
        </w:rPr>
        <w:t>provided</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acceptable</w:t>
      </w:r>
      <w:r w:rsidR="002514B0">
        <w:rPr>
          <w:sz w:val="24"/>
          <w:szCs w:val="24"/>
        </w:rPr>
        <w:t xml:space="preserve"> </w:t>
      </w:r>
      <w:r w:rsidRPr="003C7F6D">
        <w:rPr>
          <w:sz w:val="24"/>
          <w:szCs w:val="24"/>
        </w:rPr>
        <w:t>funding</w:t>
      </w:r>
      <w:r w:rsidR="002514B0">
        <w:rPr>
          <w:sz w:val="24"/>
          <w:szCs w:val="24"/>
        </w:rPr>
        <w:t xml:space="preserve"> </w:t>
      </w:r>
      <w:r w:rsidRPr="003C7F6D">
        <w:rPr>
          <w:sz w:val="24"/>
          <w:szCs w:val="24"/>
        </w:rPr>
        <w:t>mechanism.</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full</w:t>
      </w:r>
      <w:r w:rsidR="002514B0">
        <w:rPr>
          <w:sz w:val="24"/>
          <w:szCs w:val="24"/>
        </w:rPr>
        <w:t xml:space="preserve"> </w:t>
      </w:r>
      <w:r w:rsidRPr="003C7F6D">
        <w:rPr>
          <w:sz w:val="24"/>
          <w:szCs w:val="24"/>
        </w:rPr>
        <w:t>Council</w:t>
      </w:r>
      <w:r w:rsidR="002514B0">
        <w:rPr>
          <w:sz w:val="24"/>
          <w:szCs w:val="24"/>
        </w:rPr>
        <w:t xml:space="preserve"> </w:t>
      </w:r>
      <w:r w:rsidRPr="003C7F6D">
        <w:rPr>
          <w:sz w:val="24"/>
          <w:szCs w:val="24"/>
        </w:rPr>
        <w:t>later</w:t>
      </w:r>
      <w:r w:rsidR="002514B0">
        <w:rPr>
          <w:sz w:val="24"/>
          <w:szCs w:val="24"/>
        </w:rPr>
        <w:t xml:space="preserve"> </w:t>
      </w:r>
      <w:r w:rsidRPr="003C7F6D">
        <w:rPr>
          <w:sz w:val="24"/>
          <w:szCs w:val="24"/>
        </w:rPr>
        <w:t>adopted</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only</w:t>
      </w:r>
      <w:r w:rsidR="002514B0">
        <w:rPr>
          <w:sz w:val="24"/>
          <w:szCs w:val="24"/>
        </w:rPr>
        <w:t xml:space="preserve"> </w:t>
      </w:r>
      <w:r w:rsidRPr="003C7F6D">
        <w:rPr>
          <w:sz w:val="24"/>
          <w:szCs w:val="24"/>
        </w:rPr>
        <w:t>provided</w:t>
      </w:r>
      <w:r w:rsidR="002514B0">
        <w:rPr>
          <w:sz w:val="24"/>
          <w:szCs w:val="24"/>
        </w:rPr>
        <w:t xml:space="preserve"> </w:t>
      </w:r>
      <w:r w:rsidRPr="003C7F6D">
        <w:rPr>
          <w:sz w:val="24"/>
          <w:szCs w:val="24"/>
        </w:rPr>
        <w:t>an</w:t>
      </w:r>
      <w:r w:rsidR="002514B0">
        <w:rPr>
          <w:sz w:val="24"/>
          <w:szCs w:val="24"/>
        </w:rPr>
        <w:t xml:space="preserve"> </w:t>
      </w:r>
      <w:r w:rsidRPr="003C7F6D">
        <w:rPr>
          <w:sz w:val="24"/>
          <w:szCs w:val="24"/>
        </w:rPr>
        <w:t>incomplete</w:t>
      </w:r>
      <w:r w:rsidR="002514B0">
        <w:rPr>
          <w:sz w:val="24"/>
          <w:szCs w:val="24"/>
        </w:rPr>
        <w:t xml:space="preserve"> </w:t>
      </w:r>
      <w:r w:rsidRPr="003C7F6D">
        <w:rPr>
          <w:sz w:val="24"/>
          <w:szCs w:val="24"/>
        </w:rPr>
        <w:t>funding</w:t>
      </w:r>
      <w:r w:rsidR="002514B0">
        <w:rPr>
          <w:sz w:val="24"/>
          <w:szCs w:val="24"/>
        </w:rPr>
        <w:t xml:space="preserve"> </w:t>
      </w:r>
      <w:r w:rsidRPr="003C7F6D">
        <w:rPr>
          <w:sz w:val="24"/>
          <w:szCs w:val="24"/>
        </w:rPr>
        <w:t>mechanism,</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is:</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pay</w:t>
      </w:r>
      <w:r w:rsidR="002514B0">
        <w:rPr>
          <w:sz w:val="24"/>
          <w:szCs w:val="24"/>
        </w:rPr>
        <w:t xml:space="preserve"> </w:t>
      </w:r>
      <w:r w:rsidRPr="003C7F6D">
        <w:rPr>
          <w:sz w:val="24"/>
          <w:szCs w:val="24"/>
        </w:rPr>
        <w:t>low-income</w:t>
      </w:r>
      <w:r w:rsidR="002514B0">
        <w:rPr>
          <w:sz w:val="24"/>
          <w:szCs w:val="24"/>
        </w:rPr>
        <w:t xml:space="preserve"> </w:t>
      </w:r>
      <w:r w:rsidRPr="003C7F6D">
        <w:rPr>
          <w:sz w:val="24"/>
          <w:szCs w:val="24"/>
        </w:rPr>
        <w:t>customers</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same</w:t>
      </w:r>
      <w:r w:rsidR="002514B0">
        <w:rPr>
          <w:sz w:val="24"/>
          <w:szCs w:val="24"/>
        </w:rPr>
        <w:t xml:space="preserve"> </w:t>
      </w:r>
      <w:r w:rsidRPr="003C7F6D">
        <w:rPr>
          <w:sz w:val="24"/>
          <w:szCs w:val="24"/>
        </w:rPr>
        <w:t>rate</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Net</w:t>
      </w:r>
      <w:r w:rsidR="002514B0">
        <w:rPr>
          <w:sz w:val="24"/>
          <w:szCs w:val="24"/>
        </w:rPr>
        <w:t xml:space="preserve"> </w:t>
      </w:r>
      <w:r w:rsidRPr="003C7F6D">
        <w:rPr>
          <w:sz w:val="24"/>
          <w:szCs w:val="24"/>
        </w:rPr>
        <w:t>Energy</w:t>
      </w:r>
      <w:r w:rsidR="002514B0">
        <w:rPr>
          <w:sz w:val="24"/>
          <w:szCs w:val="24"/>
        </w:rPr>
        <w:t xml:space="preserve"> </w:t>
      </w:r>
      <w:r w:rsidRPr="003C7F6D">
        <w:rPr>
          <w:sz w:val="24"/>
          <w:szCs w:val="24"/>
        </w:rPr>
        <w:t>Metering,</w:t>
      </w:r>
      <w:r w:rsidR="002514B0">
        <w:rPr>
          <w:sz w:val="24"/>
          <w:szCs w:val="24"/>
        </w:rPr>
        <w:t xml:space="preserve"> </w:t>
      </w:r>
      <w:r w:rsidRPr="003C7F6D">
        <w:rPr>
          <w:sz w:val="24"/>
          <w:szCs w:val="24"/>
        </w:rPr>
        <w:t>namely</w:t>
      </w:r>
      <w:r w:rsidR="002514B0">
        <w:rPr>
          <w:sz w:val="24"/>
          <w:szCs w:val="24"/>
        </w:rPr>
        <w:t xml:space="preserve"> </w:t>
      </w:r>
      <w:r w:rsidRPr="003C7F6D">
        <w:rPr>
          <w:sz w:val="24"/>
          <w:szCs w:val="24"/>
        </w:rPr>
        <w:t>retail</w:t>
      </w:r>
      <w:r w:rsidR="002514B0">
        <w:rPr>
          <w:sz w:val="24"/>
          <w:szCs w:val="24"/>
        </w:rPr>
        <w:t xml:space="preserve"> </w:t>
      </w:r>
      <w:r w:rsidRPr="003C7F6D">
        <w:rPr>
          <w:sz w:val="24"/>
          <w:szCs w:val="24"/>
        </w:rPr>
        <w:t>price.</w:t>
      </w:r>
      <w:r w:rsidR="002514B0">
        <w:rPr>
          <w:sz w:val="24"/>
          <w:szCs w:val="24"/>
        </w:rPr>
        <w:t xml:space="preserve"> </w:t>
      </w:r>
      <w:r w:rsidRPr="003C7F6D">
        <w:rPr>
          <w:sz w:val="24"/>
          <w:szCs w:val="24"/>
        </w:rPr>
        <w:t>However,</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noted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my</w:t>
      </w:r>
      <w:r w:rsidR="002514B0">
        <w:rPr>
          <w:sz w:val="24"/>
          <w:szCs w:val="24"/>
        </w:rPr>
        <w:t xml:space="preserve"> </w:t>
      </w:r>
      <w:r w:rsidRPr="003C7F6D">
        <w:rPr>
          <w:sz w:val="24"/>
          <w:szCs w:val="24"/>
        </w:rPr>
        <w:t>direct</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provides</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means</w:t>
      </w:r>
      <w:r w:rsidR="002514B0">
        <w:rPr>
          <w:sz w:val="24"/>
          <w:szCs w:val="24"/>
        </w:rPr>
        <w:t xml:space="preserve"> </w:t>
      </w:r>
      <w:r w:rsidRPr="003C7F6D">
        <w:rPr>
          <w:sz w:val="24"/>
          <w:szCs w:val="24"/>
        </w:rPr>
        <w:t>by</w:t>
      </w:r>
      <w:r w:rsidR="002514B0">
        <w:rPr>
          <w:sz w:val="24"/>
          <w:szCs w:val="24"/>
        </w:rPr>
        <w:t xml:space="preserve"> </w:t>
      </w:r>
      <w:r w:rsidRPr="003C7F6D">
        <w:rPr>
          <w:sz w:val="24"/>
          <w:szCs w:val="24"/>
        </w:rPr>
        <w:t>which</w:t>
      </w:r>
      <w:r w:rsidR="002514B0">
        <w:rPr>
          <w:sz w:val="24"/>
          <w:szCs w:val="24"/>
        </w:rPr>
        <w:t xml:space="preserve"> </w:t>
      </w:r>
      <w:r w:rsidRPr="003C7F6D">
        <w:rPr>
          <w:sz w:val="24"/>
          <w:szCs w:val="24"/>
        </w:rPr>
        <w:t>all</w:t>
      </w:r>
      <w:r w:rsidR="002514B0">
        <w:rPr>
          <w:sz w:val="24"/>
          <w:szCs w:val="24"/>
        </w:rPr>
        <w:t xml:space="preserve"> </w:t>
      </w:r>
      <w:r w:rsidRPr="003C7F6D">
        <w:rPr>
          <w:sz w:val="24"/>
          <w:szCs w:val="24"/>
        </w:rPr>
        <w:t>Community</w:t>
      </w:r>
      <w:r w:rsidR="002514B0">
        <w:rPr>
          <w:sz w:val="24"/>
          <w:szCs w:val="24"/>
        </w:rPr>
        <w:t xml:space="preserve"> </w:t>
      </w:r>
      <w:r w:rsidRPr="003C7F6D">
        <w:rPr>
          <w:sz w:val="24"/>
          <w:szCs w:val="24"/>
        </w:rPr>
        <w:t>Solar</w:t>
      </w:r>
      <w:r w:rsidR="002514B0">
        <w:rPr>
          <w:sz w:val="24"/>
          <w:szCs w:val="24"/>
        </w:rPr>
        <w:t xml:space="preserve"> </w:t>
      </w:r>
      <w:r w:rsidRPr="003C7F6D">
        <w:rPr>
          <w:sz w:val="24"/>
          <w:szCs w:val="24"/>
        </w:rPr>
        <w:t>customers</w:t>
      </w:r>
      <w:r w:rsidR="002514B0">
        <w:rPr>
          <w:sz w:val="24"/>
          <w:szCs w:val="24"/>
        </w:rPr>
        <w:t xml:space="preserve"> </w:t>
      </w:r>
      <w:r w:rsidRPr="003C7F6D">
        <w:rPr>
          <w:sz w:val="24"/>
          <w:szCs w:val="24"/>
        </w:rPr>
        <w:t>can</w:t>
      </w:r>
      <w:r w:rsidR="002514B0">
        <w:rPr>
          <w:sz w:val="24"/>
          <w:szCs w:val="24"/>
        </w:rPr>
        <w:t xml:space="preserve"> </w:t>
      </w:r>
      <w:r w:rsidRPr="003C7F6D">
        <w:rPr>
          <w:sz w:val="24"/>
          <w:szCs w:val="24"/>
        </w:rPr>
        <w:t>be</w:t>
      </w:r>
      <w:r w:rsidR="002514B0">
        <w:rPr>
          <w:sz w:val="24"/>
          <w:szCs w:val="24"/>
        </w:rPr>
        <w:t xml:space="preserve"> </w:t>
      </w:r>
      <w:r w:rsidRPr="003C7F6D">
        <w:rPr>
          <w:sz w:val="24"/>
          <w:szCs w:val="24"/>
        </w:rPr>
        <w:t>paid.</w:t>
      </w:r>
      <w:r w:rsidR="002514B0">
        <w:rPr>
          <w:sz w:val="24"/>
          <w:szCs w:val="24"/>
        </w:rPr>
        <w:t xml:space="preserve"> </w:t>
      </w:r>
    </w:p>
    <w:p w14:paraId="40007ED3" w14:textId="77777777" w:rsidR="00511610" w:rsidRPr="003C7F6D" w:rsidRDefault="00511610" w:rsidP="003C6728">
      <w:pPr>
        <w:rPr>
          <w:sz w:val="24"/>
          <w:szCs w:val="24"/>
        </w:rPr>
      </w:pPr>
    </w:p>
    <w:p w14:paraId="6E0E3D84" w14:textId="183E5DCF" w:rsidR="00511610" w:rsidRPr="003C7F6D" w:rsidRDefault="00511610" w:rsidP="003C6728">
      <w:pPr>
        <w:rPr>
          <w:b/>
          <w:sz w:val="24"/>
          <w:szCs w:val="24"/>
        </w:rPr>
      </w:pPr>
      <w:r w:rsidRPr="003C7F6D">
        <w:rPr>
          <w:b/>
          <w:sz w:val="24"/>
          <w:szCs w:val="24"/>
        </w:rPr>
        <w:t>Q12.</w:t>
      </w:r>
      <w:r w:rsidR="002514B0">
        <w:rPr>
          <w:b/>
          <w:sz w:val="24"/>
          <w:szCs w:val="24"/>
        </w:rPr>
        <w:t xml:space="preserve"> </w:t>
      </w:r>
      <w:r w:rsidRPr="003C7F6D">
        <w:rPr>
          <w:b/>
          <w:sz w:val="24"/>
          <w:szCs w:val="24"/>
        </w:rPr>
        <w:tab/>
        <w:t>Please</w:t>
      </w:r>
      <w:r w:rsidR="002514B0">
        <w:rPr>
          <w:b/>
          <w:sz w:val="24"/>
          <w:szCs w:val="24"/>
        </w:rPr>
        <w:t xml:space="preserve"> </w:t>
      </w:r>
      <w:r w:rsidRPr="003C7F6D">
        <w:rPr>
          <w:b/>
          <w:sz w:val="24"/>
          <w:szCs w:val="24"/>
        </w:rPr>
        <w:t>explain</w:t>
      </w:r>
      <w:r w:rsidR="002514B0">
        <w:rPr>
          <w:b/>
          <w:sz w:val="24"/>
          <w:szCs w:val="24"/>
        </w:rPr>
        <w:t xml:space="preserve"> </w:t>
      </w:r>
      <w:r w:rsidRPr="003C7F6D">
        <w:rPr>
          <w:b/>
          <w:sz w:val="24"/>
          <w:szCs w:val="24"/>
        </w:rPr>
        <w:t>how</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nature</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detailed</w:t>
      </w:r>
      <w:r w:rsidR="002514B0">
        <w:rPr>
          <w:b/>
          <w:sz w:val="24"/>
          <w:szCs w:val="24"/>
        </w:rPr>
        <w:t xml:space="preserve"> </w:t>
      </w:r>
      <w:r w:rsidRPr="003C7F6D">
        <w:rPr>
          <w:b/>
          <w:sz w:val="24"/>
          <w:szCs w:val="24"/>
        </w:rPr>
        <w:t>definitions</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CLEP</w:t>
      </w:r>
      <w:r w:rsidR="002514B0">
        <w:rPr>
          <w:b/>
          <w:sz w:val="24"/>
          <w:szCs w:val="24"/>
        </w:rPr>
        <w:t xml:space="preserve"> </w:t>
      </w:r>
      <w:r w:rsidRPr="003C7F6D">
        <w:rPr>
          <w:b/>
          <w:sz w:val="24"/>
          <w:szCs w:val="24"/>
        </w:rPr>
        <w:t>proposal</w:t>
      </w:r>
      <w:r w:rsidR="002514B0">
        <w:rPr>
          <w:b/>
          <w:sz w:val="24"/>
          <w:szCs w:val="24"/>
        </w:rPr>
        <w:t xml:space="preserve"> </w:t>
      </w:r>
      <w:r w:rsidRPr="003C7F6D">
        <w:rPr>
          <w:b/>
          <w:sz w:val="24"/>
          <w:szCs w:val="24"/>
        </w:rPr>
        <w:t>has</w:t>
      </w:r>
      <w:r w:rsidR="002514B0">
        <w:rPr>
          <w:b/>
          <w:sz w:val="24"/>
          <w:szCs w:val="24"/>
        </w:rPr>
        <w:t xml:space="preserve"> </w:t>
      </w:r>
      <w:r w:rsidRPr="003C7F6D">
        <w:rPr>
          <w:b/>
          <w:sz w:val="24"/>
          <w:szCs w:val="24"/>
        </w:rPr>
        <w:t>been</w:t>
      </w:r>
      <w:r w:rsidR="002514B0">
        <w:rPr>
          <w:b/>
          <w:sz w:val="24"/>
          <w:szCs w:val="24"/>
        </w:rPr>
        <w:t xml:space="preserve"> </w:t>
      </w:r>
      <w:r w:rsidRPr="003C7F6D">
        <w:rPr>
          <w:b/>
          <w:sz w:val="24"/>
          <w:szCs w:val="24"/>
        </w:rPr>
        <w:t>refined</w:t>
      </w:r>
      <w:r w:rsidR="002514B0">
        <w:rPr>
          <w:b/>
          <w:sz w:val="24"/>
          <w:szCs w:val="24"/>
        </w:rPr>
        <w:t xml:space="preserve"> </w:t>
      </w:r>
      <w:r w:rsidRPr="003C7F6D">
        <w:rPr>
          <w:b/>
          <w:sz w:val="24"/>
          <w:szCs w:val="24"/>
        </w:rPr>
        <w:t>since</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adoption</w:t>
      </w:r>
      <w:r w:rsidR="002514B0">
        <w:rPr>
          <w:b/>
          <w:sz w:val="24"/>
          <w:szCs w:val="24"/>
        </w:rPr>
        <w:t xml:space="preserve"> </w:t>
      </w:r>
      <w:r w:rsidRPr="003C7F6D">
        <w:rPr>
          <w:b/>
          <w:sz w:val="24"/>
          <w:szCs w:val="24"/>
        </w:rPr>
        <w:t>of</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Resolutions</w:t>
      </w:r>
      <w:r w:rsidR="002514B0">
        <w:rPr>
          <w:b/>
          <w:sz w:val="24"/>
          <w:szCs w:val="24"/>
        </w:rPr>
        <w:t xml:space="preserve"> </w:t>
      </w:r>
      <w:r w:rsidRPr="003C7F6D">
        <w:rPr>
          <w:b/>
          <w:sz w:val="24"/>
          <w:szCs w:val="24"/>
        </w:rPr>
        <w:t>Nos</w:t>
      </w:r>
      <w:r w:rsidR="002514B0">
        <w:rPr>
          <w:b/>
          <w:sz w:val="24"/>
          <w:szCs w:val="24"/>
        </w:rPr>
        <w:t xml:space="preserve"> </w:t>
      </w:r>
      <w:r w:rsidRPr="003C7F6D">
        <w:rPr>
          <w:b/>
          <w:sz w:val="24"/>
          <w:szCs w:val="24"/>
        </w:rPr>
        <w:t>R-16-106</w:t>
      </w:r>
      <w:r w:rsidR="002514B0">
        <w:rPr>
          <w:b/>
          <w:sz w:val="24"/>
          <w:szCs w:val="24"/>
        </w:rPr>
        <w:t xml:space="preserve"> </w:t>
      </w:r>
      <w:r w:rsidRPr="003C7F6D">
        <w:rPr>
          <w:b/>
          <w:sz w:val="24"/>
          <w:szCs w:val="24"/>
        </w:rPr>
        <w:t>and</w:t>
      </w:r>
      <w:r w:rsidR="002514B0">
        <w:rPr>
          <w:b/>
          <w:sz w:val="24"/>
          <w:szCs w:val="24"/>
        </w:rPr>
        <w:t xml:space="preserve"> </w:t>
      </w:r>
      <w:r w:rsidRPr="003C7F6D">
        <w:rPr>
          <w:b/>
          <w:sz w:val="24"/>
          <w:szCs w:val="24"/>
        </w:rPr>
        <w:t>R-17-100?</w:t>
      </w:r>
    </w:p>
    <w:p w14:paraId="335ADB21" w14:textId="1C314FF9" w:rsidR="00511610" w:rsidRPr="003C7F6D" w:rsidRDefault="00511610" w:rsidP="003C6728">
      <w:pPr>
        <w:rPr>
          <w:sz w:val="24"/>
          <w:szCs w:val="24"/>
        </w:rPr>
      </w:pPr>
      <w:r w:rsidRPr="003C7F6D">
        <w:rPr>
          <w:b/>
          <w:sz w:val="24"/>
          <w:szCs w:val="24"/>
        </w:rPr>
        <w:t>A.</w:t>
      </w:r>
      <w:r w:rsidRPr="003C7F6D">
        <w:rPr>
          <w:b/>
          <w:sz w:val="24"/>
          <w:szCs w:val="24"/>
        </w:rPr>
        <w:tab/>
      </w:r>
      <w:r w:rsidRPr="003C7F6D">
        <w:rPr>
          <w:sz w:val="24"/>
          <w:szCs w:val="24"/>
        </w:rPr>
        <w:t>1)</w:t>
      </w:r>
      <w:r w:rsidR="002514B0">
        <w:rPr>
          <w:sz w:val="24"/>
          <w:szCs w:val="24"/>
        </w:rPr>
        <w:t xml:space="preserve"> </w:t>
      </w:r>
      <w:r w:rsidRPr="003C7F6D">
        <w:rPr>
          <w:sz w:val="24"/>
          <w:szCs w:val="24"/>
        </w:rPr>
        <w:tab/>
        <w:t>As</w:t>
      </w:r>
      <w:r w:rsidR="002514B0">
        <w:rPr>
          <w:sz w:val="24"/>
          <w:szCs w:val="24"/>
        </w:rPr>
        <w:t xml:space="preserve"> </w:t>
      </w:r>
      <w:r w:rsidRPr="003C7F6D">
        <w:rPr>
          <w:sz w:val="24"/>
          <w:szCs w:val="24"/>
        </w:rPr>
        <w:t>noted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at</w:t>
      </w:r>
      <w:r w:rsidR="002514B0">
        <w:rPr>
          <w:sz w:val="24"/>
          <w:szCs w:val="24"/>
        </w:rPr>
        <w:t xml:space="preserve"> </w:t>
      </w:r>
      <w:r w:rsidRPr="003C7F6D">
        <w:rPr>
          <w:sz w:val="24"/>
          <w:szCs w:val="24"/>
        </w:rPr>
        <w:t>page</w:t>
      </w:r>
      <w:r w:rsidR="002514B0">
        <w:rPr>
          <w:sz w:val="24"/>
          <w:szCs w:val="24"/>
        </w:rPr>
        <w:t xml:space="preserve"> </w:t>
      </w:r>
      <w:r w:rsidRPr="003C7F6D">
        <w:rPr>
          <w:sz w:val="24"/>
          <w:szCs w:val="24"/>
        </w:rPr>
        <w:t>16,</w:t>
      </w:r>
      <w:r w:rsidR="002514B0">
        <w:rPr>
          <w:sz w:val="24"/>
          <w:szCs w:val="24"/>
        </w:rPr>
        <w:t xml:space="preserve"> </w:t>
      </w:r>
      <w:r w:rsidRPr="003C7F6D">
        <w:rPr>
          <w:sz w:val="24"/>
          <w:szCs w:val="24"/>
        </w:rPr>
        <w:t>lines</w:t>
      </w:r>
      <w:r w:rsidR="002514B0">
        <w:rPr>
          <w:sz w:val="24"/>
          <w:szCs w:val="24"/>
        </w:rPr>
        <w:t xml:space="preserve"> </w:t>
      </w:r>
      <w:r w:rsidRPr="003C7F6D">
        <w:rPr>
          <w:sz w:val="24"/>
          <w:szCs w:val="24"/>
        </w:rPr>
        <w:t>11</w:t>
      </w:r>
      <w:r w:rsidR="002514B0">
        <w:rPr>
          <w:sz w:val="24"/>
          <w:szCs w:val="24"/>
        </w:rPr>
        <w:t xml:space="preserve"> </w:t>
      </w:r>
      <w:r w:rsidRPr="003C7F6D">
        <w:rPr>
          <w:sz w:val="24"/>
          <w:szCs w:val="24"/>
        </w:rPr>
        <w:t>through</w:t>
      </w:r>
      <w:r w:rsidR="002514B0">
        <w:rPr>
          <w:sz w:val="24"/>
          <w:szCs w:val="24"/>
        </w:rPr>
        <w:t xml:space="preserve"> </w:t>
      </w:r>
      <w:r w:rsidRPr="003C7F6D">
        <w:rPr>
          <w:sz w:val="24"/>
          <w:szCs w:val="24"/>
        </w:rPr>
        <w:t>22,</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refined</w:t>
      </w:r>
      <w:r w:rsidR="002514B0">
        <w:rPr>
          <w:sz w:val="24"/>
          <w:szCs w:val="24"/>
        </w:rPr>
        <w:t xml:space="preserve"> </w:t>
      </w:r>
      <w:r w:rsidRPr="003C7F6D">
        <w:rPr>
          <w:sz w:val="24"/>
          <w:szCs w:val="24"/>
        </w:rPr>
        <w:t>version</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can</w:t>
      </w:r>
      <w:r w:rsidR="002514B0">
        <w:rPr>
          <w:sz w:val="24"/>
          <w:szCs w:val="24"/>
        </w:rPr>
        <w:t xml:space="preserve"> </w:t>
      </w:r>
      <w:r w:rsidRPr="003C7F6D">
        <w:rPr>
          <w:sz w:val="24"/>
          <w:szCs w:val="24"/>
        </w:rPr>
        <w:t>apply</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businesses</w:t>
      </w:r>
      <w:r w:rsidR="002514B0">
        <w:rPr>
          <w:sz w:val="24"/>
          <w:szCs w:val="24"/>
        </w:rPr>
        <w:t xml:space="preserve"> </w:t>
      </w:r>
      <w:r w:rsidRPr="003C7F6D">
        <w:rPr>
          <w:sz w:val="24"/>
          <w:szCs w:val="24"/>
        </w:rPr>
        <w:t>but</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didn't</w:t>
      </w:r>
      <w:r w:rsidR="002514B0">
        <w:rPr>
          <w:sz w:val="24"/>
          <w:szCs w:val="24"/>
        </w:rPr>
        <w:t xml:space="preserve"> </w:t>
      </w:r>
      <w:r w:rsidRPr="003C7F6D">
        <w:rPr>
          <w:sz w:val="24"/>
          <w:szCs w:val="24"/>
        </w:rPr>
        <w:t>handle</w:t>
      </w:r>
      <w:r w:rsidR="002514B0">
        <w:rPr>
          <w:sz w:val="24"/>
          <w:szCs w:val="24"/>
        </w:rPr>
        <w:t xml:space="preserve"> </w:t>
      </w:r>
      <w:r w:rsidRPr="003C7F6D">
        <w:rPr>
          <w:sz w:val="24"/>
          <w:szCs w:val="24"/>
        </w:rPr>
        <w:t>business</w:t>
      </w:r>
      <w:r w:rsidR="002514B0">
        <w:rPr>
          <w:sz w:val="24"/>
          <w:szCs w:val="24"/>
        </w:rPr>
        <w:t xml:space="preserve"> </w:t>
      </w:r>
      <w:r w:rsidRPr="003C7F6D">
        <w:rPr>
          <w:sz w:val="24"/>
          <w:szCs w:val="24"/>
        </w:rPr>
        <w:t>customers</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and</w:t>
      </w:r>
      <w:r w:rsidR="002514B0">
        <w:rPr>
          <w:sz w:val="24"/>
          <w:szCs w:val="24"/>
        </w:rPr>
        <w:t xml:space="preserve"> </w:t>
      </w:r>
    </w:p>
    <w:p w14:paraId="3F95434D" w14:textId="0B182FCF" w:rsidR="00511610" w:rsidRPr="003C7F6D" w:rsidRDefault="00511610" w:rsidP="003C6728">
      <w:pPr>
        <w:rPr>
          <w:sz w:val="24"/>
          <w:szCs w:val="24"/>
        </w:rPr>
      </w:pPr>
      <w:r w:rsidRPr="003C7F6D">
        <w:rPr>
          <w:sz w:val="24"/>
          <w:szCs w:val="24"/>
        </w:rPr>
        <w:t>2)</w:t>
      </w:r>
      <w:r w:rsidR="002514B0">
        <w:rPr>
          <w:sz w:val="24"/>
          <w:szCs w:val="24"/>
        </w:rPr>
        <w:t xml:space="preserve"> </w:t>
      </w:r>
      <w:r w:rsidRPr="003C7F6D">
        <w:rPr>
          <w:sz w:val="24"/>
          <w:szCs w:val="24"/>
        </w:rPr>
        <w:tab/>
        <w:t>The</w:t>
      </w:r>
      <w:r w:rsidR="002514B0">
        <w:rPr>
          <w:sz w:val="24"/>
          <w:szCs w:val="24"/>
        </w:rPr>
        <w:t xml:space="preserve"> </w:t>
      </w:r>
      <w:r w:rsidRPr="003C7F6D">
        <w:rPr>
          <w:sz w:val="24"/>
          <w:szCs w:val="24"/>
        </w:rPr>
        <w:t>February</w:t>
      </w:r>
      <w:r w:rsidR="002514B0">
        <w:rPr>
          <w:sz w:val="24"/>
          <w:szCs w:val="24"/>
        </w:rPr>
        <w:t xml:space="preserve"> </w:t>
      </w:r>
      <w:r w:rsidRPr="003C7F6D">
        <w:rPr>
          <w:sz w:val="24"/>
          <w:szCs w:val="24"/>
        </w:rPr>
        <w:t>1,</w:t>
      </w:r>
      <w:r w:rsidR="002514B0">
        <w:rPr>
          <w:sz w:val="24"/>
          <w:szCs w:val="24"/>
        </w:rPr>
        <w:t xml:space="preserve"> </w:t>
      </w:r>
      <w:r w:rsidRPr="003C7F6D">
        <w:rPr>
          <w:sz w:val="24"/>
          <w:szCs w:val="24"/>
        </w:rPr>
        <w:t>2019</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sets</w:t>
      </w:r>
      <w:r w:rsidR="002514B0">
        <w:rPr>
          <w:sz w:val="24"/>
          <w:szCs w:val="24"/>
        </w:rPr>
        <w:t xml:space="preserve"> </w:t>
      </w:r>
      <w:r w:rsidRPr="003C7F6D">
        <w:rPr>
          <w:sz w:val="24"/>
          <w:szCs w:val="24"/>
        </w:rPr>
        <w:t>forth</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detailed</w:t>
      </w:r>
      <w:r w:rsidR="002514B0">
        <w:rPr>
          <w:sz w:val="24"/>
          <w:szCs w:val="24"/>
        </w:rPr>
        <w:t xml:space="preserve"> </w:t>
      </w:r>
      <w:r w:rsidRPr="003C7F6D">
        <w:rPr>
          <w:sz w:val="24"/>
          <w:szCs w:val="24"/>
        </w:rPr>
        <w:t>explanation</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coefficient</w:t>
      </w:r>
      <w:r w:rsidR="002514B0">
        <w:rPr>
          <w:sz w:val="24"/>
          <w:szCs w:val="24"/>
        </w:rPr>
        <w:t xml:space="preserve"> </w:t>
      </w:r>
      <w:r w:rsidRPr="003C7F6D">
        <w:rPr>
          <w:sz w:val="24"/>
          <w:szCs w:val="24"/>
        </w:rPr>
        <w:t>for</w:t>
      </w:r>
      <w:r w:rsidR="002514B0">
        <w:rPr>
          <w:sz w:val="24"/>
          <w:szCs w:val="24"/>
        </w:rPr>
        <w:t xml:space="preserve"> </w:t>
      </w:r>
      <w:r w:rsidRPr="003C7F6D">
        <w:rPr>
          <w:sz w:val="24"/>
          <w:szCs w:val="24"/>
        </w:rPr>
        <w:t>CLEPm</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“$50”</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pages</w:t>
      </w:r>
      <w:r w:rsidR="002514B0">
        <w:rPr>
          <w:sz w:val="24"/>
          <w:szCs w:val="24"/>
        </w:rPr>
        <w:t xml:space="preserve"> </w:t>
      </w:r>
      <w:r w:rsidRPr="003C7F6D">
        <w:rPr>
          <w:sz w:val="24"/>
          <w:szCs w:val="24"/>
        </w:rPr>
        <w:t>12</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20,</w:t>
      </w:r>
      <w:r w:rsidR="002514B0">
        <w:rPr>
          <w:sz w:val="24"/>
          <w:szCs w:val="24"/>
        </w:rPr>
        <w:t xml:space="preserve"> </w:t>
      </w:r>
      <w:r w:rsidRPr="003C7F6D">
        <w:rPr>
          <w:sz w:val="24"/>
          <w:szCs w:val="24"/>
        </w:rPr>
        <w:t>instead</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“$57.60”</w:t>
      </w:r>
      <w:r w:rsidR="002514B0">
        <w:rPr>
          <w:sz w:val="24"/>
          <w:szCs w:val="24"/>
        </w:rPr>
        <w:t xml:space="preserve"> </w:t>
      </w:r>
      <w:r w:rsidRPr="003C7F6D">
        <w:rPr>
          <w:sz w:val="24"/>
          <w:szCs w:val="24"/>
        </w:rPr>
        <w:t>as</w:t>
      </w:r>
      <w:r w:rsidR="002514B0">
        <w:rPr>
          <w:sz w:val="24"/>
          <w:szCs w:val="24"/>
        </w:rPr>
        <w:t xml:space="preserve"> </w:t>
      </w:r>
      <w:r w:rsidRPr="003C7F6D">
        <w:rPr>
          <w:sz w:val="24"/>
          <w:szCs w:val="24"/>
        </w:rPr>
        <w:t>stated</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2016</w:t>
      </w:r>
      <w:r w:rsidR="002514B0">
        <w:rPr>
          <w:sz w:val="24"/>
          <w:szCs w:val="24"/>
        </w:rPr>
        <w:t xml:space="preserve"> </w:t>
      </w:r>
      <w:r w:rsidRPr="003C7F6D">
        <w:rPr>
          <w:sz w:val="24"/>
          <w:szCs w:val="24"/>
        </w:rPr>
        <w:t>and</w:t>
      </w:r>
      <w:r w:rsidR="002514B0">
        <w:rPr>
          <w:sz w:val="24"/>
          <w:szCs w:val="24"/>
        </w:rPr>
        <w:t xml:space="preserve"> </w:t>
      </w:r>
      <w:r w:rsidRPr="003C7F6D">
        <w:rPr>
          <w:sz w:val="24"/>
          <w:szCs w:val="24"/>
        </w:rPr>
        <w:t>2017.</w:t>
      </w:r>
      <w:r w:rsidR="002514B0">
        <w:rPr>
          <w:sz w:val="24"/>
          <w:szCs w:val="24"/>
        </w:rPr>
        <w:t xml:space="preserve"> </w:t>
      </w:r>
    </w:p>
    <w:p w14:paraId="5C43B14B" w14:textId="77777777" w:rsidR="00511610" w:rsidRPr="003C7F6D" w:rsidRDefault="00511610" w:rsidP="003C6728">
      <w:pPr>
        <w:rPr>
          <w:sz w:val="24"/>
          <w:szCs w:val="24"/>
        </w:rPr>
      </w:pPr>
    </w:p>
    <w:p w14:paraId="2BF57FA9" w14:textId="266C5CCC" w:rsidR="00511610" w:rsidRPr="003C7F6D" w:rsidRDefault="00511610" w:rsidP="003C6728">
      <w:pPr>
        <w:rPr>
          <w:b/>
          <w:sz w:val="24"/>
          <w:szCs w:val="24"/>
        </w:rPr>
      </w:pPr>
      <w:r w:rsidRPr="003C7F6D">
        <w:rPr>
          <w:b/>
          <w:sz w:val="24"/>
          <w:szCs w:val="24"/>
        </w:rPr>
        <w:t>Q13.</w:t>
      </w:r>
      <w:r w:rsidR="002514B0">
        <w:rPr>
          <w:b/>
          <w:sz w:val="24"/>
          <w:szCs w:val="24"/>
        </w:rPr>
        <w:t xml:space="preserve"> </w:t>
      </w:r>
      <w:r w:rsidRPr="003C7F6D">
        <w:rPr>
          <w:b/>
          <w:sz w:val="24"/>
          <w:szCs w:val="24"/>
        </w:rPr>
        <w:tab/>
        <w:t>What</w:t>
      </w:r>
      <w:r w:rsidR="002514B0">
        <w:rPr>
          <w:b/>
          <w:sz w:val="24"/>
          <w:szCs w:val="24"/>
        </w:rPr>
        <w:t xml:space="preserve"> </w:t>
      </w:r>
      <w:r w:rsidRPr="003C7F6D">
        <w:rPr>
          <w:b/>
          <w:sz w:val="24"/>
          <w:szCs w:val="24"/>
        </w:rPr>
        <w:t>is</w:t>
      </w:r>
      <w:r w:rsidR="002514B0">
        <w:rPr>
          <w:b/>
          <w:sz w:val="24"/>
          <w:szCs w:val="24"/>
        </w:rPr>
        <w:t xml:space="preserve"> </w:t>
      </w:r>
      <w:r w:rsidRPr="003C7F6D">
        <w:rPr>
          <w:b/>
          <w:sz w:val="24"/>
          <w:szCs w:val="24"/>
        </w:rPr>
        <w:t>the</w:t>
      </w:r>
      <w:r w:rsidR="002514B0">
        <w:rPr>
          <w:b/>
          <w:sz w:val="24"/>
          <w:szCs w:val="24"/>
        </w:rPr>
        <w:t xml:space="preserve"> </w:t>
      </w:r>
      <w:r w:rsidRPr="003C7F6D">
        <w:rPr>
          <w:b/>
          <w:sz w:val="24"/>
          <w:szCs w:val="24"/>
        </w:rPr>
        <w:t>BSI’s</w:t>
      </w:r>
      <w:r w:rsidR="002514B0">
        <w:rPr>
          <w:b/>
          <w:sz w:val="24"/>
          <w:szCs w:val="24"/>
        </w:rPr>
        <w:t xml:space="preserve"> </w:t>
      </w:r>
      <w:r w:rsidRPr="003C7F6D">
        <w:rPr>
          <w:b/>
          <w:sz w:val="24"/>
          <w:szCs w:val="24"/>
        </w:rPr>
        <w:t>response</w:t>
      </w:r>
      <w:r w:rsidR="002514B0">
        <w:rPr>
          <w:b/>
          <w:sz w:val="24"/>
          <w:szCs w:val="24"/>
        </w:rPr>
        <w:t xml:space="preserve"> </w:t>
      </w:r>
      <w:r w:rsidRPr="003C7F6D">
        <w:rPr>
          <w:b/>
          <w:sz w:val="24"/>
          <w:szCs w:val="24"/>
        </w:rPr>
        <w:t>to</w:t>
      </w:r>
      <w:r w:rsidR="002514B0">
        <w:rPr>
          <w:b/>
          <w:sz w:val="24"/>
          <w:szCs w:val="24"/>
        </w:rPr>
        <w:t xml:space="preserve"> </w:t>
      </w:r>
      <w:r w:rsidRPr="003C7F6D">
        <w:rPr>
          <w:b/>
          <w:sz w:val="24"/>
          <w:szCs w:val="24"/>
        </w:rPr>
        <w:t>Mr.</w:t>
      </w:r>
      <w:r w:rsidR="002514B0">
        <w:rPr>
          <w:b/>
          <w:sz w:val="24"/>
          <w:szCs w:val="24"/>
        </w:rPr>
        <w:t xml:space="preserve"> </w:t>
      </w:r>
      <w:r w:rsidRPr="003C7F6D">
        <w:rPr>
          <w:b/>
          <w:sz w:val="24"/>
          <w:szCs w:val="24"/>
        </w:rPr>
        <w:t>Owen’s</w:t>
      </w:r>
      <w:r w:rsidR="002514B0">
        <w:rPr>
          <w:b/>
          <w:sz w:val="24"/>
          <w:szCs w:val="24"/>
        </w:rPr>
        <w:t xml:space="preserve"> </w:t>
      </w:r>
      <w:r w:rsidRPr="003C7F6D">
        <w:rPr>
          <w:b/>
          <w:sz w:val="24"/>
          <w:szCs w:val="24"/>
        </w:rPr>
        <w:t>comments</w:t>
      </w:r>
      <w:r w:rsidR="002514B0">
        <w:rPr>
          <w:b/>
          <w:sz w:val="24"/>
          <w:szCs w:val="24"/>
        </w:rPr>
        <w:t xml:space="preserve"> </w:t>
      </w:r>
      <w:r w:rsidRPr="003C7F6D">
        <w:rPr>
          <w:b/>
          <w:sz w:val="24"/>
          <w:szCs w:val="24"/>
        </w:rPr>
        <w:t>regarding</w:t>
      </w:r>
      <w:r w:rsidR="002514B0">
        <w:rPr>
          <w:b/>
          <w:sz w:val="24"/>
          <w:szCs w:val="24"/>
        </w:rPr>
        <w:t xml:space="preserve"> </w:t>
      </w:r>
      <w:r w:rsidRPr="003C7F6D">
        <w:rPr>
          <w:b/>
          <w:sz w:val="24"/>
          <w:szCs w:val="24"/>
        </w:rPr>
        <w:t>Council</w:t>
      </w:r>
      <w:r w:rsidR="002514B0">
        <w:rPr>
          <w:b/>
          <w:sz w:val="24"/>
          <w:szCs w:val="24"/>
        </w:rPr>
        <w:t xml:space="preserve"> </w:t>
      </w:r>
      <w:r w:rsidRPr="003C7F6D">
        <w:rPr>
          <w:b/>
          <w:sz w:val="24"/>
          <w:szCs w:val="24"/>
        </w:rPr>
        <w:t>Resolution</w:t>
      </w:r>
      <w:r w:rsidR="002514B0">
        <w:rPr>
          <w:b/>
          <w:sz w:val="24"/>
          <w:szCs w:val="24"/>
        </w:rPr>
        <w:t xml:space="preserve"> </w:t>
      </w:r>
      <w:r w:rsidRPr="003C7F6D">
        <w:rPr>
          <w:b/>
          <w:sz w:val="24"/>
          <w:szCs w:val="24"/>
        </w:rPr>
        <w:t>NO.</w:t>
      </w:r>
      <w:r w:rsidR="002514B0">
        <w:rPr>
          <w:b/>
          <w:sz w:val="24"/>
          <w:szCs w:val="24"/>
        </w:rPr>
        <w:t xml:space="preserve"> </w:t>
      </w:r>
      <w:r w:rsidRPr="003C7F6D">
        <w:rPr>
          <w:b/>
          <w:sz w:val="24"/>
          <w:szCs w:val="24"/>
        </w:rPr>
        <w:t>R-16-106?</w:t>
      </w:r>
    </w:p>
    <w:p w14:paraId="042F4213" w14:textId="77469451" w:rsidR="00511610" w:rsidRPr="003C7F6D" w:rsidRDefault="00511610" w:rsidP="003C6728">
      <w:pPr>
        <w:rPr>
          <w:sz w:val="24"/>
          <w:szCs w:val="24"/>
        </w:rPr>
      </w:pPr>
      <w:r w:rsidRPr="003C7F6D">
        <w:rPr>
          <w:b/>
          <w:sz w:val="24"/>
          <w:szCs w:val="24"/>
        </w:rPr>
        <w:t>A.</w:t>
      </w:r>
      <w:r w:rsidR="002514B0">
        <w:rPr>
          <w:sz w:val="24"/>
          <w:szCs w:val="24"/>
        </w:rPr>
        <w:t xml:space="preserve"> </w:t>
      </w:r>
      <w:r w:rsidRPr="003C7F6D">
        <w:rPr>
          <w:sz w:val="24"/>
          <w:szCs w:val="24"/>
        </w:rPr>
        <w:tab/>
        <w:t>Council</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R-16-106</w:t>
      </w:r>
      <w:r w:rsidR="002514B0">
        <w:rPr>
          <w:sz w:val="24"/>
          <w:szCs w:val="24"/>
        </w:rPr>
        <w:t xml:space="preserve"> </w:t>
      </w:r>
      <w:r w:rsidRPr="003C7F6D">
        <w:rPr>
          <w:sz w:val="24"/>
          <w:szCs w:val="24"/>
        </w:rPr>
        <w:t>was</w:t>
      </w:r>
      <w:r w:rsidR="002514B0">
        <w:rPr>
          <w:sz w:val="24"/>
          <w:szCs w:val="24"/>
        </w:rPr>
        <w:t xml:space="preserve"> </w:t>
      </w:r>
      <w:r w:rsidRPr="003C7F6D">
        <w:rPr>
          <w:sz w:val="24"/>
          <w:szCs w:val="24"/>
        </w:rPr>
        <w:t>a</w:t>
      </w:r>
      <w:r w:rsidR="002514B0">
        <w:rPr>
          <w:sz w:val="24"/>
          <w:szCs w:val="24"/>
        </w:rPr>
        <w:t xml:space="preserve"> </w:t>
      </w:r>
      <w:r w:rsidRPr="003C7F6D">
        <w:rPr>
          <w:sz w:val="24"/>
          <w:szCs w:val="24"/>
        </w:rPr>
        <w:t>decision</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deny</w:t>
      </w:r>
      <w:r w:rsidR="002514B0">
        <w:rPr>
          <w:sz w:val="24"/>
          <w:szCs w:val="24"/>
        </w:rPr>
        <w:t xml:space="preserve"> </w:t>
      </w:r>
      <w:r w:rsidRPr="003C7F6D">
        <w:rPr>
          <w:sz w:val="24"/>
          <w:szCs w:val="24"/>
        </w:rPr>
        <w:t>giving</w:t>
      </w:r>
      <w:r w:rsidR="002514B0">
        <w:rPr>
          <w:sz w:val="24"/>
          <w:szCs w:val="24"/>
        </w:rPr>
        <w:t xml:space="preserve"> </w:t>
      </w:r>
      <w:r w:rsidRPr="003C7F6D">
        <w:rPr>
          <w:sz w:val="24"/>
          <w:szCs w:val="24"/>
        </w:rPr>
        <w:t>BSI</w:t>
      </w:r>
      <w:r w:rsidR="002514B0">
        <w:rPr>
          <w:sz w:val="24"/>
          <w:szCs w:val="24"/>
        </w:rPr>
        <w:t xml:space="preserve"> </w:t>
      </w:r>
      <w:r w:rsidRPr="003C7F6D">
        <w:rPr>
          <w:sz w:val="24"/>
          <w:szCs w:val="24"/>
        </w:rPr>
        <w:t>extra</w:t>
      </w:r>
      <w:r w:rsidR="002514B0">
        <w:rPr>
          <w:sz w:val="24"/>
          <w:szCs w:val="24"/>
        </w:rPr>
        <w:t xml:space="preserve"> </w:t>
      </w:r>
      <w:r w:rsidRPr="003C7F6D">
        <w:rPr>
          <w:sz w:val="24"/>
          <w:szCs w:val="24"/>
        </w:rPr>
        <w:t>opportunities</w:t>
      </w:r>
      <w:r w:rsidR="002514B0">
        <w:rPr>
          <w:sz w:val="24"/>
          <w:szCs w:val="24"/>
        </w:rPr>
        <w:t xml:space="preserve"> </w:t>
      </w:r>
      <w:r w:rsidRPr="003C7F6D">
        <w:rPr>
          <w:sz w:val="24"/>
          <w:szCs w:val="24"/>
        </w:rPr>
        <w:t>outside</w:t>
      </w:r>
      <w:r w:rsidR="002514B0">
        <w:rPr>
          <w:sz w:val="24"/>
          <w:szCs w:val="24"/>
        </w:rPr>
        <w:t xml:space="preserve"> </w:t>
      </w:r>
      <w:r w:rsidRPr="003C7F6D">
        <w:rPr>
          <w:sz w:val="24"/>
          <w:szCs w:val="24"/>
        </w:rPr>
        <w:t>of</w:t>
      </w:r>
      <w:r w:rsidR="002514B0">
        <w:rPr>
          <w:sz w:val="24"/>
          <w:szCs w:val="24"/>
        </w:rPr>
        <w:t xml:space="preserve"> </w:t>
      </w:r>
      <w:r w:rsidRPr="003C7F6D">
        <w:rPr>
          <w:sz w:val="24"/>
          <w:szCs w:val="24"/>
        </w:rPr>
        <w:t>filing</w:t>
      </w:r>
      <w:r w:rsidR="002514B0">
        <w:rPr>
          <w:sz w:val="24"/>
          <w:szCs w:val="24"/>
        </w:rPr>
        <w:t xml:space="preserve"> </w:t>
      </w:r>
      <w:r w:rsidRPr="003C7F6D">
        <w:rPr>
          <w:sz w:val="24"/>
          <w:szCs w:val="24"/>
        </w:rPr>
        <w:t>testimony</w:t>
      </w:r>
      <w:r w:rsidR="002514B0">
        <w:rPr>
          <w:sz w:val="24"/>
          <w:szCs w:val="24"/>
        </w:rPr>
        <w:t xml:space="preserve"> </w:t>
      </w:r>
      <w:r w:rsidRPr="003C7F6D">
        <w:rPr>
          <w:sz w:val="24"/>
          <w:szCs w:val="24"/>
        </w:rPr>
        <w:t>to</w:t>
      </w:r>
      <w:r w:rsidR="002514B0">
        <w:rPr>
          <w:sz w:val="24"/>
          <w:szCs w:val="24"/>
        </w:rPr>
        <w:t xml:space="preserve"> </w:t>
      </w:r>
      <w:r w:rsidRPr="003C7F6D">
        <w:rPr>
          <w:sz w:val="24"/>
          <w:szCs w:val="24"/>
        </w:rPr>
        <w:t>describe</w:t>
      </w:r>
      <w:r w:rsidR="002514B0">
        <w:rPr>
          <w:sz w:val="24"/>
          <w:szCs w:val="24"/>
        </w:rPr>
        <w:t xml:space="preserve"> </w:t>
      </w:r>
      <w:r w:rsidRPr="003C7F6D">
        <w:rPr>
          <w:sz w:val="24"/>
          <w:szCs w:val="24"/>
        </w:rPr>
        <w:t>CLEP</w:t>
      </w:r>
      <w:r w:rsidR="002514B0">
        <w:rPr>
          <w:sz w:val="24"/>
          <w:szCs w:val="24"/>
        </w:rPr>
        <w:t xml:space="preserve"> </w:t>
      </w:r>
      <w:r w:rsidRPr="003C7F6D">
        <w:rPr>
          <w:sz w:val="24"/>
          <w:szCs w:val="24"/>
        </w:rPr>
        <w:t>within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2015</w:t>
      </w:r>
      <w:r w:rsidR="002514B0">
        <w:rPr>
          <w:sz w:val="24"/>
          <w:szCs w:val="24"/>
        </w:rPr>
        <w:t xml:space="preserve"> </w:t>
      </w:r>
      <w:r w:rsidRPr="003C7F6D">
        <w:rPr>
          <w:sz w:val="24"/>
          <w:szCs w:val="24"/>
        </w:rPr>
        <w:t>ENO</w:t>
      </w:r>
      <w:r w:rsidR="002514B0">
        <w:rPr>
          <w:sz w:val="24"/>
          <w:szCs w:val="24"/>
        </w:rPr>
        <w:t xml:space="preserve"> </w:t>
      </w:r>
      <w:r w:rsidRPr="003C7F6D">
        <w:rPr>
          <w:sz w:val="24"/>
          <w:szCs w:val="24"/>
        </w:rPr>
        <w:t>Integrated</w:t>
      </w:r>
      <w:r w:rsidR="002514B0">
        <w:rPr>
          <w:sz w:val="24"/>
          <w:szCs w:val="24"/>
        </w:rPr>
        <w:t xml:space="preserve"> </w:t>
      </w:r>
      <w:r w:rsidRPr="003C7F6D">
        <w:rPr>
          <w:sz w:val="24"/>
          <w:szCs w:val="24"/>
        </w:rPr>
        <w:t>Resource</w:t>
      </w:r>
      <w:r w:rsidR="002514B0">
        <w:rPr>
          <w:sz w:val="24"/>
          <w:szCs w:val="24"/>
        </w:rPr>
        <w:t xml:space="preserve"> </w:t>
      </w:r>
      <w:r w:rsidRPr="003C7F6D">
        <w:rPr>
          <w:sz w:val="24"/>
          <w:szCs w:val="24"/>
        </w:rPr>
        <w:t>Planning</w:t>
      </w:r>
      <w:r w:rsidR="002514B0">
        <w:rPr>
          <w:sz w:val="24"/>
          <w:szCs w:val="24"/>
        </w:rPr>
        <w:t xml:space="preserve"> </w:t>
      </w:r>
      <w:r w:rsidRPr="003C7F6D">
        <w:rPr>
          <w:sz w:val="24"/>
          <w:szCs w:val="24"/>
        </w:rPr>
        <w:t>process.</w:t>
      </w:r>
      <w:r w:rsidR="002514B0">
        <w:rPr>
          <w:sz w:val="24"/>
          <w:szCs w:val="24"/>
        </w:rPr>
        <w:t xml:space="preserve"> </w:t>
      </w:r>
      <w:r w:rsidRPr="003C7F6D">
        <w:rPr>
          <w:sz w:val="24"/>
          <w:szCs w:val="24"/>
        </w:rPr>
        <w:t>Consequently,</w:t>
      </w:r>
      <w:r w:rsidR="002514B0">
        <w:rPr>
          <w:sz w:val="24"/>
          <w:szCs w:val="24"/>
        </w:rPr>
        <w:t xml:space="preserve"> </w:t>
      </w:r>
      <w:r w:rsidRPr="003C7F6D">
        <w:rPr>
          <w:sz w:val="24"/>
          <w:szCs w:val="24"/>
        </w:rPr>
        <w:t>that</w:t>
      </w:r>
      <w:r w:rsidR="002514B0">
        <w:rPr>
          <w:sz w:val="24"/>
          <w:szCs w:val="24"/>
        </w:rPr>
        <w:t xml:space="preserve"> </w:t>
      </w:r>
      <w:r w:rsidRPr="003C7F6D">
        <w:rPr>
          <w:sz w:val="24"/>
          <w:szCs w:val="24"/>
        </w:rPr>
        <w:t>resolution</w:t>
      </w:r>
      <w:r w:rsidR="002514B0">
        <w:rPr>
          <w:sz w:val="24"/>
          <w:szCs w:val="24"/>
        </w:rPr>
        <w:t xml:space="preserve"> </w:t>
      </w:r>
      <w:r w:rsidRPr="003C7F6D">
        <w:rPr>
          <w:sz w:val="24"/>
          <w:szCs w:val="24"/>
        </w:rPr>
        <w:t>has</w:t>
      </w:r>
      <w:r w:rsidR="002514B0">
        <w:rPr>
          <w:sz w:val="24"/>
          <w:szCs w:val="24"/>
        </w:rPr>
        <w:t xml:space="preserve"> </w:t>
      </w:r>
      <w:r w:rsidRPr="003C7F6D">
        <w:rPr>
          <w:sz w:val="24"/>
          <w:szCs w:val="24"/>
        </w:rPr>
        <w:t>no</w:t>
      </w:r>
      <w:r w:rsidR="002514B0">
        <w:rPr>
          <w:sz w:val="24"/>
          <w:szCs w:val="24"/>
        </w:rPr>
        <w:t xml:space="preserve"> </w:t>
      </w:r>
      <w:r w:rsidRPr="003C7F6D">
        <w:rPr>
          <w:sz w:val="24"/>
          <w:szCs w:val="24"/>
        </w:rPr>
        <w:t>bearing</w:t>
      </w:r>
      <w:r w:rsidR="002514B0">
        <w:rPr>
          <w:sz w:val="24"/>
          <w:szCs w:val="24"/>
        </w:rPr>
        <w:t xml:space="preserve"> </w:t>
      </w:r>
      <w:r w:rsidRPr="003C7F6D">
        <w:rPr>
          <w:sz w:val="24"/>
          <w:szCs w:val="24"/>
        </w:rPr>
        <w:t>on</w:t>
      </w:r>
      <w:r w:rsidR="002514B0">
        <w:rPr>
          <w:sz w:val="24"/>
          <w:szCs w:val="24"/>
        </w:rPr>
        <w:t xml:space="preserve"> </w:t>
      </w:r>
      <w:r w:rsidRPr="003C7F6D">
        <w:rPr>
          <w:sz w:val="24"/>
          <w:szCs w:val="24"/>
        </w:rPr>
        <w:t>the</w:t>
      </w:r>
      <w:r w:rsidR="002514B0">
        <w:rPr>
          <w:sz w:val="24"/>
          <w:szCs w:val="24"/>
        </w:rPr>
        <w:t xml:space="preserve"> </w:t>
      </w:r>
      <w:r w:rsidRPr="003C7F6D">
        <w:rPr>
          <w:sz w:val="24"/>
          <w:szCs w:val="24"/>
        </w:rPr>
        <w:t>issues</w:t>
      </w:r>
      <w:r w:rsidR="002514B0">
        <w:rPr>
          <w:sz w:val="24"/>
          <w:szCs w:val="24"/>
        </w:rPr>
        <w:t xml:space="preserve"> </w:t>
      </w:r>
      <w:r w:rsidRPr="003C7F6D">
        <w:rPr>
          <w:sz w:val="24"/>
          <w:szCs w:val="24"/>
        </w:rPr>
        <w:t>arising</w:t>
      </w:r>
      <w:r w:rsidR="002514B0">
        <w:rPr>
          <w:sz w:val="24"/>
          <w:szCs w:val="24"/>
        </w:rPr>
        <w:t xml:space="preserve"> </w:t>
      </w:r>
      <w:r w:rsidRPr="003C7F6D">
        <w:rPr>
          <w:sz w:val="24"/>
          <w:szCs w:val="24"/>
        </w:rPr>
        <w:t>in</w:t>
      </w:r>
      <w:r w:rsidR="002514B0">
        <w:rPr>
          <w:sz w:val="24"/>
          <w:szCs w:val="24"/>
        </w:rPr>
        <w:t xml:space="preserve"> </w:t>
      </w:r>
      <w:r w:rsidRPr="003C7F6D">
        <w:rPr>
          <w:sz w:val="24"/>
          <w:szCs w:val="24"/>
        </w:rPr>
        <w:t>this</w:t>
      </w:r>
      <w:r w:rsidR="002514B0">
        <w:rPr>
          <w:sz w:val="24"/>
          <w:szCs w:val="24"/>
        </w:rPr>
        <w:t xml:space="preserve"> </w:t>
      </w:r>
      <w:r w:rsidRPr="003C7F6D">
        <w:rPr>
          <w:sz w:val="24"/>
          <w:szCs w:val="24"/>
        </w:rPr>
        <w:t>proceeding.</w:t>
      </w:r>
      <w:r w:rsidR="002514B0">
        <w:rPr>
          <w:sz w:val="24"/>
          <w:szCs w:val="24"/>
        </w:rPr>
        <w:t xml:space="preserve"> </w:t>
      </w:r>
    </w:p>
    <w:p w14:paraId="240697EA" w14:textId="77777777" w:rsidR="00511610" w:rsidRPr="003C7F6D" w:rsidRDefault="00511610" w:rsidP="003C6728">
      <w:pPr>
        <w:rPr>
          <w:b/>
          <w:sz w:val="24"/>
          <w:szCs w:val="24"/>
        </w:rPr>
      </w:pPr>
    </w:p>
    <w:p w14:paraId="2BFEAAA6" w14:textId="73462728" w:rsidR="00511610" w:rsidRPr="003C7F6D" w:rsidRDefault="00511610" w:rsidP="003C6728">
      <w:pPr>
        <w:rPr>
          <w:b/>
          <w:sz w:val="24"/>
          <w:szCs w:val="24"/>
        </w:rPr>
      </w:pPr>
      <w:r w:rsidRPr="003C7F6D">
        <w:rPr>
          <w:b/>
          <w:sz w:val="24"/>
          <w:szCs w:val="24"/>
        </w:rPr>
        <w:t>Q14.</w:t>
      </w:r>
      <w:r w:rsidR="002514B0">
        <w:rPr>
          <w:b/>
          <w:sz w:val="24"/>
          <w:szCs w:val="24"/>
        </w:rPr>
        <w:t xml:space="preserve"> </w:t>
      </w:r>
      <w:r w:rsidRPr="003C7F6D">
        <w:rPr>
          <w:b/>
          <w:sz w:val="24"/>
          <w:szCs w:val="24"/>
        </w:rPr>
        <w:tab/>
        <w:t>Does</w:t>
      </w:r>
      <w:r w:rsidR="002514B0">
        <w:rPr>
          <w:b/>
          <w:sz w:val="24"/>
          <w:szCs w:val="24"/>
        </w:rPr>
        <w:t xml:space="preserve"> </w:t>
      </w:r>
      <w:r w:rsidRPr="003C7F6D">
        <w:rPr>
          <w:b/>
          <w:sz w:val="24"/>
          <w:szCs w:val="24"/>
        </w:rPr>
        <w:t>this</w:t>
      </w:r>
      <w:r w:rsidR="002514B0">
        <w:rPr>
          <w:b/>
          <w:sz w:val="24"/>
          <w:szCs w:val="24"/>
        </w:rPr>
        <w:t xml:space="preserve"> </w:t>
      </w:r>
      <w:r w:rsidRPr="003C7F6D">
        <w:rPr>
          <w:b/>
          <w:sz w:val="24"/>
          <w:szCs w:val="24"/>
        </w:rPr>
        <w:t>conclude</w:t>
      </w:r>
      <w:r w:rsidR="002514B0">
        <w:rPr>
          <w:b/>
          <w:sz w:val="24"/>
          <w:szCs w:val="24"/>
        </w:rPr>
        <w:t xml:space="preserve"> </w:t>
      </w:r>
      <w:r w:rsidRPr="003C7F6D">
        <w:rPr>
          <w:b/>
          <w:sz w:val="24"/>
          <w:szCs w:val="24"/>
        </w:rPr>
        <w:t>your</w:t>
      </w:r>
      <w:r w:rsidR="002514B0">
        <w:rPr>
          <w:b/>
          <w:sz w:val="24"/>
          <w:szCs w:val="24"/>
        </w:rPr>
        <w:t xml:space="preserve"> </w:t>
      </w:r>
      <w:r w:rsidRPr="003C7F6D">
        <w:rPr>
          <w:b/>
          <w:sz w:val="24"/>
          <w:szCs w:val="24"/>
        </w:rPr>
        <w:t>testimony?</w:t>
      </w:r>
    </w:p>
    <w:p w14:paraId="63E57673" w14:textId="2891A3D2" w:rsidR="00511610" w:rsidRPr="003C7F6D" w:rsidRDefault="00511610" w:rsidP="003C6728">
      <w:pPr>
        <w:rPr>
          <w:sz w:val="24"/>
          <w:szCs w:val="24"/>
        </w:rPr>
      </w:pPr>
      <w:r w:rsidRPr="003C7F6D">
        <w:rPr>
          <w:b/>
          <w:sz w:val="24"/>
          <w:szCs w:val="24"/>
        </w:rPr>
        <w:t>A</w:t>
      </w:r>
      <w:r w:rsidRPr="003C7F6D">
        <w:rPr>
          <w:sz w:val="24"/>
          <w:szCs w:val="24"/>
        </w:rPr>
        <w:t>.</w:t>
      </w:r>
      <w:r w:rsidR="002514B0">
        <w:rPr>
          <w:sz w:val="24"/>
          <w:szCs w:val="24"/>
        </w:rPr>
        <w:t xml:space="preserve"> </w:t>
      </w:r>
      <w:r w:rsidRPr="003C7F6D">
        <w:rPr>
          <w:sz w:val="24"/>
          <w:szCs w:val="24"/>
        </w:rPr>
        <w:tab/>
        <w:t>Yes.</w:t>
      </w:r>
    </w:p>
    <w:p w14:paraId="74FDF2F0" w14:textId="77777777" w:rsidR="00511610" w:rsidRPr="003C7F6D" w:rsidRDefault="00511610" w:rsidP="003C6728"/>
    <w:p w14:paraId="4D5DE73C" w14:textId="77777777" w:rsidR="00511610" w:rsidRPr="003C7F6D" w:rsidRDefault="00511610" w:rsidP="003C6728"/>
    <w:p w14:paraId="5FA91C4C" w14:textId="74110284" w:rsidR="002D6F19" w:rsidRDefault="002D6F19">
      <w:pPr>
        <w:widowControl/>
        <w:rPr>
          <w:b/>
          <w:bCs/>
          <w:sz w:val="24"/>
          <w:szCs w:val="24"/>
        </w:rPr>
      </w:pPr>
      <w:r>
        <w:rPr>
          <w:b/>
          <w:bCs/>
          <w:sz w:val="24"/>
          <w:szCs w:val="24"/>
        </w:rPr>
        <w:br w:type="page"/>
      </w:r>
    </w:p>
    <w:p w14:paraId="02887E62" w14:textId="2C0A5F83" w:rsidR="002D6F19" w:rsidRPr="00960F28" w:rsidRDefault="002D6F19" w:rsidP="002D6F19">
      <w:pPr>
        <w:pStyle w:val="Heading1"/>
      </w:pPr>
      <w:bookmarkStart w:id="120" w:name="_Appendix_3._How"/>
      <w:bookmarkStart w:id="121" w:name="_Toc16165429"/>
      <w:bookmarkStart w:id="122" w:name="_Toc16317748"/>
      <w:bookmarkStart w:id="123" w:name="_Toc16254912"/>
      <w:bookmarkEnd w:id="120"/>
      <w:r>
        <w:lastRenderedPageBreak/>
        <w:t>Appendix</w:t>
      </w:r>
      <w:r w:rsidR="002514B0">
        <w:t xml:space="preserve"> </w:t>
      </w:r>
      <w:r>
        <w:t>3</w:t>
      </w:r>
      <w:r w:rsidRPr="003C7F6D">
        <w:t>.</w:t>
      </w:r>
      <w:r w:rsidR="002514B0">
        <w:t xml:space="preserve"> </w:t>
      </w:r>
      <w:r w:rsidRPr="00960F28">
        <w:t>How</w:t>
      </w:r>
      <w:r w:rsidR="002514B0">
        <w:t xml:space="preserve"> </w:t>
      </w:r>
      <w:r w:rsidRPr="00960F28">
        <w:t>can</w:t>
      </w:r>
      <w:r w:rsidR="002514B0">
        <w:t xml:space="preserve"> </w:t>
      </w:r>
      <w:r w:rsidRPr="00960F28">
        <w:t>“cost-of-energy”</w:t>
      </w:r>
      <w:r w:rsidR="002514B0">
        <w:t xml:space="preserve"> </w:t>
      </w:r>
      <w:r w:rsidRPr="00960F28">
        <w:t>and</w:t>
      </w:r>
      <w:r w:rsidR="002514B0">
        <w:t xml:space="preserve"> </w:t>
      </w:r>
      <w:r w:rsidRPr="00960F28">
        <w:t>“average</w:t>
      </w:r>
      <w:r w:rsidR="002514B0">
        <w:t xml:space="preserve"> </w:t>
      </w:r>
      <w:r w:rsidRPr="00960F28">
        <w:t>cost</w:t>
      </w:r>
      <w:r w:rsidR="002514B0">
        <w:t xml:space="preserve"> </w:t>
      </w:r>
      <w:r w:rsidRPr="00960F28">
        <w:t>of</w:t>
      </w:r>
      <w:r w:rsidR="002514B0">
        <w:t xml:space="preserve"> </w:t>
      </w:r>
      <w:r w:rsidRPr="00960F28">
        <w:t>electricity</w:t>
      </w:r>
      <w:r w:rsidR="002514B0">
        <w:t xml:space="preserve"> </w:t>
      </w:r>
      <w:r w:rsidRPr="00960F28">
        <w:t>ENO</w:t>
      </w:r>
      <w:r w:rsidR="002514B0">
        <w:t xml:space="preserve"> </w:t>
      </w:r>
      <w:r w:rsidRPr="00960F28">
        <w:t>incurs”</w:t>
      </w:r>
      <w:r w:rsidR="002514B0">
        <w:t xml:space="preserve"> </w:t>
      </w:r>
      <w:r w:rsidRPr="00960F28">
        <w:t>be</w:t>
      </w:r>
      <w:r w:rsidR="002514B0">
        <w:t xml:space="preserve"> </w:t>
      </w:r>
      <w:r w:rsidRPr="00960F28">
        <w:t>modelled?</w:t>
      </w:r>
      <w:bookmarkEnd w:id="121"/>
      <w:bookmarkEnd w:id="122"/>
      <w:bookmarkEnd w:id="123"/>
    </w:p>
    <w:p w14:paraId="49653417" w14:textId="6EF9C599" w:rsidR="002D6F19" w:rsidRPr="00960F28" w:rsidRDefault="002D6F19" w:rsidP="002D6F19">
      <w:pPr>
        <w:pStyle w:val="ListParagraph"/>
        <w:widowControl/>
        <w:numPr>
          <w:ilvl w:val="0"/>
          <w:numId w:val="31"/>
        </w:numPr>
        <w:tabs>
          <w:tab w:val="left" w:pos="450"/>
        </w:tabs>
        <w:spacing w:after="120" w:line="400" w:lineRule="exact"/>
        <w:ind w:right="0"/>
        <w:contextualSpacing/>
        <w:jc w:val="left"/>
        <w:rPr>
          <w:b/>
          <w:sz w:val="24"/>
          <w:szCs w:val="24"/>
        </w:rPr>
      </w:pPr>
      <w:r w:rsidRPr="00960F28">
        <w:rPr>
          <w:b/>
          <w:sz w:val="24"/>
          <w:szCs w:val="24"/>
        </w:rPr>
        <w:t>How</w:t>
      </w:r>
      <w:r w:rsidR="002514B0">
        <w:rPr>
          <w:b/>
          <w:sz w:val="24"/>
          <w:szCs w:val="24"/>
        </w:rPr>
        <w:t xml:space="preserve"> </w:t>
      </w:r>
      <w:r w:rsidRPr="00960F28">
        <w:rPr>
          <w:b/>
          <w:sz w:val="24"/>
          <w:szCs w:val="24"/>
        </w:rPr>
        <w:t>can</w:t>
      </w:r>
      <w:r w:rsidR="002514B0">
        <w:rPr>
          <w:b/>
          <w:sz w:val="24"/>
          <w:szCs w:val="24"/>
        </w:rPr>
        <w:t xml:space="preserve"> </w:t>
      </w:r>
      <w:r w:rsidRPr="00960F28">
        <w:rPr>
          <w:b/>
          <w:sz w:val="24"/>
          <w:szCs w:val="24"/>
        </w:rPr>
        <w:t>“cost-of-energy”</w:t>
      </w:r>
      <w:r w:rsidR="002514B0">
        <w:rPr>
          <w:b/>
          <w:sz w:val="24"/>
          <w:szCs w:val="24"/>
        </w:rPr>
        <w:t xml:space="preserve"> </w:t>
      </w:r>
      <w:r w:rsidRPr="00960F28">
        <w:rPr>
          <w:b/>
          <w:sz w:val="24"/>
          <w:szCs w:val="24"/>
        </w:rPr>
        <w:t>and</w:t>
      </w:r>
      <w:r w:rsidR="002514B0">
        <w:rPr>
          <w:b/>
          <w:sz w:val="24"/>
          <w:szCs w:val="24"/>
        </w:rPr>
        <w:t xml:space="preserve"> </w:t>
      </w:r>
      <w:r w:rsidRPr="00960F28">
        <w:rPr>
          <w:b/>
          <w:sz w:val="24"/>
          <w:szCs w:val="24"/>
        </w:rPr>
        <w:t>“average</w:t>
      </w:r>
      <w:r w:rsidR="002514B0">
        <w:rPr>
          <w:b/>
          <w:sz w:val="24"/>
          <w:szCs w:val="24"/>
        </w:rPr>
        <w:t xml:space="preserve"> </w:t>
      </w:r>
      <w:r w:rsidRPr="00960F28">
        <w:rPr>
          <w:b/>
          <w:sz w:val="24"/>
          <w:szCs w:val="24"/>
        </w:rPr>
        <w:t>cost</w:t>
      </w:r>
      <w:r w:rsidR="002514B0">
        <w:rPr>
          <w:b/>
          <w:sz w:val="24"/>
          <w:szCs w:val="24"/>
        </w:rPr>
        <w:t xml:space="preserve"> </w:t>
      </w:r>
      <w:r w:rsidRPr="00960F28">
        <w:rPr>
          <w:b/>
          <w:sz w:val="24"/>
          <w:szCs w:val="24"/>
        </w:rPr>
        <w:t>of</w:t>
      </w:r>
      <w:r w:rsidR="002514B0">
        <w:rPr>
          <w:b/>
          <w:sz w:val="24"/>
          <w:szCs w:val="24"/>
        </w:rPr>
        <w:t xml:space="preserve"> </w:t>
      </w:r>
      <w:r w:rsidRPr="00960F28">
        <w:rPr>
          <w:b/>
          <w:sz w:val="24"/>
          <w:szCs w:val="24"/>
        </w:rPr>
        <w:t>electricity</w:t>
      </w:r>
      <w:r w:rsidR="002514B0">
        <w:rPr>
          <w:b/>
          <w:sz w:val="24"/>
          <w:szCs w:val="24"/>
        </w:rPr>
        <w:t xml:space="preserve"> </w:t>
      </w:r>
      <w:r w:rsidRPr="00960F28">
        <w:rPr>
          <w:b/>
          <w:sz w:val="24"/>
          <w:szCs w:val="24"/>
        </w:rPr>
        <w:t>ENO</w:t>
      </w:r>
      <w:r w:rsidR="002514B0">
        <w:rPr>
          <w:b/>
          <w:sz w:val="24"/>
          <w:szCs w:val="24"/>
        </w:rPr>
        <w:t xml:space="preserve"> </w:t>
      </w:r>
      <w:r w:rsidRPr="00960F28">
        <w:rPr>
          <w:b/>
          <w:sz w:val="24"/>
          <w:szCs w:val="24"/>
        </w:rPr>
        <w:t>incurs”</w:t>
      </w:r>
      <w:r w:rsidR="002514B0">
        <w:rPr>
          <w:b/>
          <w:sz w:val="24"/>
          <w:szCs w:val="24"/>
        </w:rPr>
        <w:t xml:space="preserve"> </w:t>
      </w:r>
      <w:r w:rsidRPr="00960F28">
        <w:rPr>
          <w:b/>
          <w:sz w:val="24"/>
          <w:szCs w:val="24"/>
        </w:rPr>
        <w:t>be</w:t>
      </w:r>
      <w:r w:rsidR="002514B0">
        <w:rPr>
          <w:b/>
          <w:sz w:val="24"/>
          <w:szCs w:val="24"/>
        </w:rPr>
        <w:t xml:space="preserve"> </w:t>
      </w:r>
      <w:r w:rsidRPr="00960F28">
        <w:rPr>
          <w:b/>
          <w:sz w:val="24"/>
          <w:szCs w:val="24"/>
        </w:rPr>
        <w:t>modelled?</w:t>
      </w:r>
    </w:p>
    <w:p w14:paraId="4A8C42EE" w14:textId="1102423C" w:rsidR="002D6F19" w:rsidRDefault="002D6F19" w:rsidP="002D6F19">
      <w:pPr>
        <w:spacing w:after="120" w:line="400" w:lineRule="exact"/>
        <w:rPr>
          <w:rFonts w:cs="Calibri"/>
          <w:sz w:val="24"/>
          <w:szCs w:val="24"/>
        </w:rPr>
      </w:pPr>
      <w:r>
        <w:rPr>
          <w:rFonts w:cs="Calibri"/>
          <w:sz w:val="24"/>
          <w:szCs w:val="24"/>
        </w:rPr>
        <w:t>Let</w:t>
      </w:r>
      <w:r w:rsidR="002514B0">
        <w:rPr>
          <w:rFonts w:cs="Calibri"/>
          <w:sz w:val="24"/>
          <w:szCs w:val="24"/>
        </w:rPr>
        <w:t xml:space="preserve"> </w:t>
      </w:r>
      <w:r w:rsidRPr="00911B13">
        <w:rPr>
          <w:rFonts w:cs="Calibri"/>
          <w:b/>
          <w:sz w:val="24"/>
          <w:szCs w:val="24"/>
        </w:rPr>
        <w:t>e</w:t>
      </w:r>
      <w:r w:rsidR="002514B0">
        <w:rPr>
          <w:rFonts w:cs="Calibri"/>
          <w:sz w:val="24"/>
          <w:szCs w:val="24"/>
        </w:rPr>
        <w:t xml:space="preserve"> </w:t>
      </w:r>
      <w:r>
        <w:rPr>
          <w:rFonts w:cs="Calibri"/>
          <w:sz w:val="24"/>
          <w:szCs w:val="24"/>
        </w:rPr>
        <w:t>=</w:t>
      </w:r>
      <w:r w:rsidR="002514B0">
        <w:rPr>
          <w:rFonts w:cs="Calibri"/>
          <w:sz w:val="24"/>
          <w:szCs w:val="24"/>
        </w:rPr>
        <w:t xml:space="preserve"> </w:t>
      </w:r>
      <w:r>
        <w:rPr>
          <w:rFonts w:cs="Calibri"/>
          <w:sz w:val="24"/>
          <w:szCs w:val="24"/>
        </w:rPr>
        <w:t>cost-of-energy</w:t>
      </w:r>
      <w:r w:rsidR="002514B0">
        <w:rPr>
          <w:rFonts w:cs="Calibri"/>
          <w:sz w:val="24"/>
          <w:szCs w:val="24"/>
        </w:rPr>
        <w:t xml:space="preserve"> </w:t>
      </w:r>
      <w:r>
        <w:rPr>
          <w:rFonts w:cs="Calibri"/>
          <w:sz w:val="24"/>
          <w:szCs w:val="24"/>
        </w:rPr>
        <w:t>and</w:t>
      </w:r>
      <w:r w:rsidR="002514B0">
        <w:rPr>
          <w:rFonts w:cs="Calibri"/>
          <w:sz w:val="24"/>
          <w:szCs w:val="24"/>
        </w:rPr>
        <w:t xml:space="preserve"> </w:t>
      </w:r>
      <w:r w:rsidRPr="00911B13">
        <w:rPr>
          <w:rFonts w:cs="Calibri"/>
          <w:b/>
          <w:sz w:val="24"/>
          <w:szCs w:val="24"/>
        </w:rPr>
        <w:t>C</w:t>
      </w:r>
      <w:r w:rsidR="002514B0">
        <w:rPr>
          <w:rFonts w:cs="Calibri"/>
          <w:sz w:val="24"/>
          <w:szCs w:val="24"/>
        </w:rPr>
        <w:t xml:space="preserve"> </w:t>
      </w:r>
      <w:r>
        <w:rPr>
          <w:rFonts w:cs="Calibri"/>
          <w:sz w:val="24"/>
          <w:szCs w:val="24"/>
        </w:rPr>
        <w:t>=</w:t>
      </w:r>
      <w:r w:rsidR="002514B0">
        <w:rPr>
          <w:rFonts w:cs="Calibri"/>
          <w:sz w:val="24"/>
          <w:szCs w:val="24"/>
        </w:rPr>
        <w:t xml:space="preserve"> </w:t>
      </w:r>
      <w:r w:rsidRPr="008C5E0A">
        <w:rPr>
          <w:rFonts w:cs="Calibri"/>
          <w:b/>
          <w:i/>
          <w:sz w:val="24"/>
          <w:szCs w:val="24"/>
        </w:rPr>
        <w:t>cost</w:t>
      </w:r>
      <w:r w:rsidR="002514B0">
        <w:rPr>
          <w:rFonts w:cs="Calibri"/>
          <w:b/>
          <w:i/>
          <w:sz w:val="24"/>
          <w:szCs w:val="24"/>
        </w:rPr>
        <w:t xml:space="preserve"> </w:t>
      </w:r>
      <w:r w:rsidRPr="008C5E0A">
        <w:rPr>
          <w:rFonts w:cs="Calibri"/>
          <w:b/>
          <w:i/>
          <w:sz w:val="24"/>
          <w:szCs w:val="24"/>
        </w:rPr>
        <w:t>of</w:t>
      </w:r>
      <w:r w:rsidR="002514B0">
        <w:rPr>
          <w:rFonts w:cs="Calibri"/>
          <w:b/>
          <w:i/>
          <w:sz w:val="24"/>
          <w:szCs w:val="24"/>
        </w:rPr>
        <w:t xml:space="preserve"> </w:t>
      </w:r>
      <w:r w:rsidRPr="008C5E0A">
        <w:rPr>
          <w:rFonts w:cs="Calibri"/>
          <w:b/>
          <w:i/>
          <w:sz w:val="24"/>
          <w:szCs w:val="24"/>
        </w:rPr>
        <w:t>electricity</w:t>
      </w:r>
      <w:r w:rsidR="002514B0">
        <w:rPr>
          <w:rFonts w:cs="Calibri"/>
          <w:b/>
          <w:i/>
          <w:sz w:val="24"/>
          <w:szCs w:val="24"/>
        </w:rPr>
        <w:t xml:space="preserve"> </w:t>
      </w:r>
      <w:r w:rsidRPr="008C5E0A">
        <w:rPr>
          <w:rFonts w:cs="Calibri"/>
          <w:b/>
          <w:i/>
          <w:sz w:val="24"/>
          <w:szCs w:val="24"/>
        </w:rPr>
        <w:t>ENO</w:t>
      </w:r>
      <w:r w:rsidR="002514B0">
        <w:rPr>
          <w:rFonts w:cs="Calibri"/>
          <w:b/>
          <w:i/>
          <w:sz w:val="24"/>
          <w:szCs w:val="24"/>
        </w:rPr>
        <w:t xml:space="preserve"> </w:t>
      </w:r>
      <w:r w:rsidRPr="008C5E0A">
        <w:rPr>
          <w:rFonts w:cs="Calibri"/>
          <w:b/>
          <w:i/>
          <w:sz w:val="24"/>
          <w:szCs w:val="24"/>
        </w:rPr>
        <w:t>incurs</w:t>
      </w:r>
      <w:r w:rsidRPr="00911B13">
        <w:rPr>
          <w:rFonts w:cs="Calibri"/>
          <w:sz w:val="24"/>
          <w:szCs w:val="24"/>
        </w:rPr>
        <w:t>,</w:t>
      </w:r>
      <w:r w:rsidR="002514B0">
        <w:rPr>
          <w:rFonts w:cs="Calibri"/>
          <w:sz w:val="24"/>
          <w:szCs w:val="24"/>
        </w:rPr>
        <w:t xml:space="preserve"> </w:t>
      </w:r>
      <w:r w:rsidRPr="00911B13">
        <w:rPr>
          <w:rFonts w:cs="Calibri"/>
          <w:sz w:val="24"/>
          <w:szCs w:val="24"/>
        </w:rPr>
        <w:t>then</w:t>
      </w:r>
      <w:r w:rsidR="002514B0">
        <w:rPr>
          <w:rFonts w:cs="Calibri"/>
          <w:sz w:val="24"/>
          <w:szCs w:val="24"/>
        </w:rPr>
        <w:t xml:space="preserve"> </w:t>
      </w:r>
      <w:r>
        <w:rPr>
          <w:rFonts w:cs="Calibri"/>
          <w:sz w:val="24"/>
          <w:szCs w:val="24"/>
        </w:rPr>
        <w:t>define</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difference,</w:t>
      </w:r>
      <w:r w:rsidR="002514B0">
        <w:rPr>
          <w:rFonts w:cs="Calibri"/>
          <w:b/>
          <w:sz w:val="24"/>
          <w:szCs w:val="24"/>
        </w:rPr>
        <w:t xml:space="preserve"> </w:t>
      </w:r>
      <w:r w:rsidRPr="00911B13">
        <w:rPr>
          <w:rFonts w:cs="Calibri"/>
          <w:b/>
          <w:sz w:val="24"/>
          <w:szCs w:val="24"/>
        </w:rPr>
        <w:t>D</w:t>
      </w:r>
      <w:r w:rsidR="002514B0">
        <w:rPr>
          <w:rFonts w:cs="Calibri"/>
          <w:b/>
          <w:sz w:val="24"/>
          <w:szCs w:val="24"/>
        </w:rPr>
        <w:t xml:space="preserve"> </w:t>
      </w:r>
      <w:r w:rsidRPr="00911B13">
        <w:rPr>
          <w:rFonts w:cs="Calibri"/>
          <w:sz w:val="24"/>
          <w:szCs w:val="24"/>
        </w:rPr>
        <w:t>=</w:t>
      </w:r>
      <w:r w:rsidR="002514B0">
        <w:rPr>
          <w:rFonts w:cs="Calibri"/>
          <w:sz w:val="24"/>
          <w:szCs w:val="24"/>
        </w:rPr>
        <w:t xml:space="preserve"> </w:t>
      </w:r>
      <w:r w:rsidRPr="00911B13">
        <w:rPr>
          <w:rFonts w:cs="Calibri"/>
          <w:b/>
          <w:sz w:val="24"/>
          <w:szCs w:val="24"/>
        </w:rPr>
        <w:t>e</w:t>
      </w:r>
      <w:r w:rsidR="002514B0">
        <w:rPr>
          <w:rFonts w:cs="Calibri"/>
          <w:b/>
          <w:sz w:val="24"/>
          <w:szCs w:val="24"/>
        </w:rPr>
        <w:t xml:space="preserve"> </w:t>
      </w:r>
      <w:r>
        <w:rPr>
          <w:rFonts w:cs="Calibri"/>
          <w:b/>
          <w:sz w:val="24"/>
          <w:szCs w:val="24"/>
        </w:rPr>
        <w:t>-</w:t>
      </w:r>
      <w:r w:rsidR="002514B0">
        <w:rPr>
          <w:rFonts w:cs="Calibri"/>
          <w:b/>
          <w:sz w:val="24"/>
          <w:szCs w:val="24"/>
        </w:rPr>
        <w:t xml:space="preserve"> </w:t>
      </w:r>
      <w:r>
        <w:rPr>
          <w:rFonts w:cs="Calibri"/>
          <w:b/>
          <w:sz w:val="24"/>
          <w:szCs w:val="24"/>
        </w:rPr>
        <w:t>C</w:t>
      </w:r>
      <w:r w:rsidRPr="00911B13">
        <w:rPr>
          <w:rFonts w:cs="Calibri"/>
          <w:sz w:val="24"/>
          <w:szCs w:val="24"/>
        </w:rPr>
        <w:t>.</w:t>
      </w:r>
      <w:r w:rsidR="002514B0">
        <w:rPr>
          <w:rFonts w:cs="Calibri"/>
          <w:sz w:val="24"/>
          <w:szCs w:val="24"/>
        </w:rPr>
        <w:t xml:space="preserve"> </w:t>
      </w:r>
      <w:r>
        <w:rPr>
          <w:rFonts w:cs="Calibri"/>
          <w:sz w:val="24"/>
          <w:szCs w:val="24"/>
        </w:rPr>
        <w:t>In</w:t>
      </w:r>
      <w:r w:rsidR="002514B0">
        <w:rPr>
          <w:rFonts w:cs="Calibri"/>
          <w:sz w:val="24"/>
          <w:szCs w:val="24"/>
        </w:rPr>
        <w:t xml:space="preserve"> </w:t>
      </w:r>
      <w:r>
        <w:rPr>
          <w:rFonts w:cs="Calibri"/>
          <w:sz w:val="24"/>
          <w:szCs w:val="24"/>
        </w:rPr>
        <w:t>almost</w:t>
      </w:r>
      <w:r w:rsidR="002514B0">
        <w:rPr>
          <w:rFonts w:cs="Calibri"/>
          <w:sz w:val="24"/>
          <w:szCs w:val="24"/>
        </w:rPr>
        <w:t xml:space="preserve"> </w:t>
      </w:r>
      <w:r>
        <w:rPr>
          <w:rFonts w:cs="Calibri"/>
          <w:sz w:val="24"/>
          <w:szCs w:val="24"/>
        </w:rPr>
        <w:t>all</w:t>
      </w:r>
      <w:r w:rsidR="002514B0">
        <w:rPr>
          <w:rFonts w:cs="Calibri"/>
          <w:sz w:val="24"/>
          <w:szCs w:val="24"/>
        </w:rPr>
        <w:t xml:space="preserve"> </w:t>
      </w:r>
      <w:r>
        <w:rPr>
          <w:rFonts w:cs="Calibri"/>
          <w:sz w:val="24"/>
          <w:szCs w:val="24"/>
        </w:rPr>
        <w:t>cases,</w:t>
      </w:r>
      <w:r w:rsidR="002514B0">
        <w:rPr>
          <w:rFonts w:cs="Calibri"/>
          <w:sz w:val="24"/>
          <w:szCs w:val="24"/>
        </w:rPr>
        <w:t xml:space="preserve"> </w:t>
      </w:r>
      <w:r>
        <w:rPr>
          <w:rFonts w:cs="Calibri"/>
          <w:sz w:val="24"/>
          <w:szCs w:val="24"/>
        </w:rPr>
        <w:t>when</w:t>
      </w:r>
      <w:r w:rsidR="002514B0">
        <w:rPr>
          <w:rFonts w:cs="Calibri"/>
          <w:sz w:val="24"/>
          <w:szCs w:val="24"/>
        </w:rPr>
        <w:t xml:space="preserve"> </w:t>
      </w:r>
      <w:r>
        <w:rPr>
          <w:rFonts w:cs="Calibri"/>
          <w:sz w:val="24"/>
          <w:szCs w:val="24"/>
        </w:rPr>
        <w:t>its</w:t>
      </w:r>
      <w:r w:rsidR="002514B0">
        <w:rPr>
          <w:rFonts w:cs="Calibri"/>
          <w:sz w:val="24"/>
          <w:szCs w:val="24"/>
        </w:rPr>
        <w:t xml:space="preserve"> </w:t>
      </w:r>
      <w:r>
        <w:rPr>
          <w:rFonts w:cs="Calibri"/>
          <w:sz w:val="24"/>
          <w:szCs w:val="24"/>
        </w:rPr>
        <w:t>customers</w:t>
      </w:r>
      <w:r w:rsidR="002514B0">
        <w:rPr>
          <w:rFonts w:cs="Calibri"/>
          <w:sz w:val="24"/>
          <w:szCs w:val="24"/>
        </w:rPr>
        <w:t xml:space="preserve"> </w:t>
      </w:r>
      <w:r>
        <w:rPr>
          <w:rFonts w:cs="Calibri"/>
          <w:sz w:val="24"/>
          <w:szCs w:val="24"/>
        </w:rPr>
        <w:t>buy</w:t>
      </w:r>
      <w:r w:rsidR="002514B0">
        <w:rPr>
          <w:rFonts w:cs="Calibri"/>
          <w:sz w:val="24"/>
          <w:szCs w:val="24"/>
        </w:rPr>
        <w:t xml:space="preserve"> </w:t>
      </w:r>
      <w:r>
        <w:rPr>
          <w:rFonts w:cs="Calibri"/>
          <w:sz w:val="24"/>
          <w:szCs w:val="24"/>
        </w:rPr>
        <w:t>electricity,</w:t>
      </w:r>
      <w:r w:rsidR="002514B0">
        <w:rPr>
          <w:rFonts w:cs="Calibri"/>
          <w:sz w:val="24"/>
          <w:szCs w:val="24"/>
        </w:rPr>
        <w:t xml:space="preserve"> </w:t>
      </w:r>
      <w:r>
        <w:rPr>
          <w:rFonts w:cs="Calibri"/>
          <w:sz w:val="24"/>
          <w:szCs w:val="24"/>
        </w:rPr>
        <w:t>ENO</w:t>
      </w:r>
      <w:r w:rsidR="002514B0">
        <w:rPr>
          <w:rFonts w:cs="Calibri"/>
          <w:sz w:val="24"/>
          <w:szCs w:val="24"/>
        </w:rPr>
        <w:t xml:space="preserve"> </w:t>
      </w:r>
      <w:r>
        <w:rPr>
          <w:rFonts w:cs="Calibri"/>
          <w:sz w:val="24"/>
          <w:szCs w:val="24"/>
        </w:rPr>
        <w:t>makes</w:t>
      </w:r>
      <w:r w:rsidR="002514B0">
        <w:rPr>
          <w:rFonts w:cs="Calibri"/>
          <w:sz w:val="24"/>
          <w:szCs w:val="24"/>
        </w:rPr>
        <w:t xml:space="preserve"> </w:t>
      </w:r>
      <w:r>
        <w:rPr>
          <w:rFonts w:cs="Calibri"/>
          <w:sz w:val="24"/>
          <w:szCs w:val="24"/>
        </w:rPr>
        <w:t>it</w:t>
      </w:r>
      <w:r w:rsidR="002514B0">
        <w:rPr>
          <w:rFonts w:cs="Calibri"/>
          <w:sz w:val="24"/>
          <w:szCs w:val="24"/>
        </w:rPr>
        <w:t xml:space="preserve"> </w:t>
      </w:r>
      <w:r>
        <w:rPr>
          <w:rFonts w:cs="Calibri"/>
          <w:sz w:val="24"/>
          <w:szCs w:val="24"/>
        </w:rPr>
        <w:t>or</w:t>
      </w:r>
      <w:r w:rsidR="002514B0">
        <w:rPr>
          <w:rFonts w:cs="Calibri"/>
          <w:sz w:val="24"/>
          <w:szCs w:val="24"/>
        </w:rPr>
        <w:t xml:space="preserve"> </w:t>
      </w:r>
      <w:r>
        <w:rPr>
          <w:rFonts w:cs="Calibri"/>
          <w:sz w:val="24"/>
          <w:szCs w:val="24"/>
        </w:rPr>
        <w:t>purchases</w:t>
      </w:r>
      <w:r w:rsidR="002514B0">
        <w:rPr>
          <w:rFonts w:cs="Calibri"/>
          <w:sz w:val="24"/>
          <w:szCs w:val="24"/>
        </w:rPr>
        <w:t xml:space="preserve"> </w:t>
      </w:r>
      <w:r>
        <w:rPr>
          <w:rFonts w:cs="Calibri"/>
          <w:sz w:val="24"/>
          <w:szCs w:val="24"/>
        </w:rPr>
        <w:t>it</w:t>
      </w:r>
      <w:r w:rsidR="002514B0">
        <w:rPr>
          <w:rFonts w:cs="Calibri"/>
          <w:sz w:val="24"/>
          <w:szCs w:val="24"/>
        </w:rPr>
        <w:t xml:space="preserve"> </w:t>
      </w:r>
      <w:r>
        <w:rPr>
          <w:rFonts w:cs="Calibri"/>
          <w:sz w:val="24"/>
          <w:szCs w:val="24"/>
        </w:rPr>
        <w:t>from</w:t>
      </w:r>
      <w:r w:rsidR="002514B0">
        <w:rPr>
          <w:rFonts w:cs="Calibri"/>
          <w:sz w:val="24"/>
          <w:szCs w:val="24"/>
        </w:rPr>
        <w:t xml:space="preserve"> </w:t>
      </w:r>
      <w:r>
        <w:rPr>
          <w:rFonts w:cs="Calibri"/>
          <w:sz w:val="24"/>
          <w:szCs w:val="24"/>
        </w:rPr>
        <w:t>MISO.</w:t>
      </w:r>
      <w:r w:rsidR="002514B0">
        <w:rPr>
          <w:rFonts w:cs="Calibri"/>
          <w:sz w:val="24"/>
          <w:szCs w:val="24"/>
        </w:rPr>
        <w:t xml:space="preserve"> </w:t>
      </w:r>
      <w:r>
        <w:rPr>
          <w:rFonts w:cs="Calibri"/>
          <w:sz w:val="24"/>
          <w:szCs w:val="24"/>
        </w:rPr>
        <w:t>Because</w:t>
      </w:r>
      <w:r w:rsidR="002514B0">
        <w:rPr>
          <w:rFonts w:cs="Calibri"/>
          <w:sz w:val="24"/>
          <w:szCs w:val="24"/>
        </w:rPr>
        <w:t xml:space="preserve"> </w:t>
      </w:r>
      <w:r>
        <w:rPr>
          <w:rFonts w:cs="Calibri"/>
          <w:sz w:val="24"/>
          <w:szCs w:val="24"/>
        </w:rPr>
        <w:t>ENO</w:t>
      </w:r>
      <w:r w:rsidR="002514B0">
        <w:rPr>
          <w:rFonts w:cs="Calibri"/>
          <w:sz w:val="24"/>
          <w:szCs w:val="24"/>
        </w:rPr>
        <w:t xml:space="preserve"> </w:t>
      </w:r>
      <w:r>
        <w:rPr>
          <w:rFonts w:cs="Calibri"/>
          <w:sz w:val="24"/>
          <w:szCs w:val="24"/>
        </w:rPr>
        <w:t>is</w:t>
      </w:r>
      <w:r w:rsidR="002514B0">
        <w:rPr>
          <w:rFonts w:cs="Calibri"/>
          <w:sz w:val="24"/>
          <w:szCs w:val="24"/>
        </w:rPr>
        <w:t xml:space="preserve"> </w:t>
      </w:r>
      <w:r>
        <w:rPr>
          <w:rFonts w:cs="Calibri"/>
          <w:sz w:val="24"/>
          <w:szCs w:val="24"/>
        </w:rPr>
        <w:t>a</w:t>
      </w:r>
      <w:r w:rsidR="002514B0">
        <w:rPr>
          <w:rFonts w:cs="Calibri"/>
          <w:sz w:val="24"/>
          <w:szCs w:val="24"/>
        </w:rPr>
        <w:t xml:space="preserve"> </w:t>
      </w:r>
      <w:r>
        <w:rPr>
          <w:rFonts w:cs="Calibri"/>
          <w:sz w:val="24"/>
          <w:szCs w:val="24"/>
        </w:rPr>
        <w:t>regulated</w:t>
      </w:r>
      <w:r w:rsidR="002514B0">
        <w:rPr>
          <w:rFonts w:cs="Calibri"/>
          <w:sz w:val="24"/>
          <w:szCs w:val="24"/>
        </w:rPr>
        <w:t xml:space="preserve"> </w:t>
      </w:r>
      <w:r>
        <w:rPr>
          <w:rFonts w:cs="Calibri"/>
          <w:sz w:val="24"/>
          <w:szCs w:val="24"/>
        </w:rPr>
        <w:t>monopoly,</w:t>
      </w:r>
      <w:r w:rsidR="002514B0">
        <w:rPr>
          <w:rFonts w:cs="Calibri"/>
          <w:sz w:val="24"/>
          <w:szCs w:val="24"/>
        </w:rPr>
        <w:t xml:space="preserve"> </w:t>
      </w:r>
      <w:r>
        <w:rPr>
          <w:rFonts w:cs="Calibri"/>
          <w:sz w:val="24"/>
          <w:szCs w:val="24"/>
        </w:rPr>
        <w:t>ENO</w:t>
      </w:r>
      <w:r w:rsidR="002514B0">
        <w:rPr>
          <w:rFonts w:cs="Calibri"/>
          <w:sz w:val="24"/>
          <w:szCs w:val="24"/>
        </w:rPr>
        <w:t xml:space="preserve"> </w:t>
      </w:r>
      <w:r>
        <w:rPr>
          <w:rFonts w:cs="Calibri"/>
          <w:sz w:val="24"/>
          <w:szCs w:val="24"/>
        </w:rPr>
        <w:t>may</w:t>
      </w:r>
      <w:r w:rsidR="002514B0">
        <w:rPr>
          <w:rFonts w:cs="Calibri"/>
          <w:sz w:val="24"/>
          <w:szCs w:val="24"/>
        </w:rPr>
        <w:t xml:space="preserve"> </w:t>
      </w:r>
      <w:r>
        <w:rPr>
          <w:rFonts w:cs="Calibri"/>
          <w:sz w:val="24"/>
          <w:szCs w:val="24"/>
        </w:rPr>
        <w:t>not</w:t>
      </w:r>
      <w:r w:rsidR="002514B0">
        <w:rPr>
          <w:rFonts w:cs="Calibri"/>
          <w:sz w:val="24"/>
          <w:szCs w:val="24"/>
        </w:rPr>
        <w:t xml:space="preserve"> </w:t>
      </w:r>
      <w:r>
        <w:rPr>
          <w:rFonts w:cs="Calibri"/>
          <w:sz w:val="24"/>
          <w:szCs w:val="24"/>
        </w:rPr>
        <w:t>profit</w:t>
      </w:r>
      <w:r w:rsidR="002514B0">
        <w:rPr>
          <w:rFonts w:cs="Calibri"/>
          <w:sz w:val="24"/>
          <w:szCs w:val="24"/>
        </w:rPr>
        <w:t xml:space="preserve"> </w:t>
      </w:r>
      <w:r>
        <w:rPr>
          <w:rFonts w:cs="Calibri"/>
          <w:sz w:val="24"/>
          <w:szCs w:val="24"/>
        </w:rPr>
        <w:t>from</w:t>
      </w:r>
      <w:r w:rsidR="002514B0">
        <w:rPr>
          <w:rFonts w:cs="Calibri"/>
          <w:sz w:val="24"/>
          <w:szCs w:val="24"/>
        </w:rPr>
        <w:t xml:space="preserve"> </w:t>
      </w:r>
      <w:r>
        <w:rPr>
          <w:rFonts w:cs="Calibri"/>
          <w:sz w:val="24"/>
          <w:szCs w:val="24"/>
        </w:rPr>
        <w:t>purchases</w:t>
      </w:r>
      <w:r w:rsidR="002514B0">
        <w:rPr>
          <w:rFonts w:cs="Calibri"/>
          <w:sz w:val="24"/>
          <w:szCs w:val="24"/>
        </w:rPr>
        <w:t xml:space="preserve"> </w:t>
      </w:r>
      <w:r>
        <w:rPr>
          <w:rFonts w:cs="Calibri"/>
          <w:sz w:val="24"/>
          <w:szCs w:val="24"/>
        </w:rPr>
        <w:t>from</w:t>
      </w:r>
      <w:r w:rsidR="002514B0">
        <w:rPr>
          <w:rFonts w:cs="Calibri"/>
          <w:sz w:val="24"/>
          <w:szCs w:val="24"/>
        </w:rPr>
        <w:t xml:space="preserve"> </w:t>
      </w:r>
      <w:r>
        <w:rPr>
          <w:rFonts w:cs="Calibri"/>
          <w:sz w:val="24"/>
          <w:szCs w:val="24"/>
        </w:rPr>
        <w:t>or</w:t>
      </w:r>
      <w:r w:rsidR="002514B0">
        <w:rPr>
          <w:rFonts w:cs="Calibri"/>
          <w:sz w:val="24"/>
          <w:szCs w:val="24"/>
        </w:rPr>
        <w:t xml:space="preserve"> </w:t>
      </w:r>
      <w:r>
        <w:rPr>
          <w:rFonts w:cs="Calibri"/>
          <w:sz w:val="24"/>
          <w:szCs w:val="24"/>
        </w:rPr>
        <w:t>sales</w:t>
      </w:r>
      <w:r w:rsidR="002514B0">
        <w:rPr>
          <w:rFonts w:cs="Calibri"/>
          <w:sz w:val="24"/>
          <w:szCs w:val="24"/>
        </w:rPr>
        <w:t xml:space="preserve"> </w:t>
      </w:r>
      <w:r>
        <w:rPr>
          <w:rFonts w:cs="Calibri"/>
          <w:sz w:val="24"/>
          <w:szCs w:val="24"/>
        </w:rPr>
        <w:t>to</w:t>
      </w:r>
      <w:r w:rsidR="002514B0">
        <w:rPr>
          <w:rFonts w:cs="Calibri"/>
          <w:sz w:val="24"/>
          <w:szCs w:val="24"/>
        </w:rPr>
        <w:t xml:space="preserve"> </w:t>
      </w:r>
      <w:r>
        <w:rPr>
          <w:rFonts w:cs="Calibri"/>
          <w:sz w:val="24"/>
          <w:szCs w:val="24"/>
        </w:rPr>
        <w:t>its</w:t>
      </w:r>
      <w:r w:rsidR="002514B0">
        <w:rPr>
          <w:rFonts w:cs="Calibri"/>
          <w:sz w:val="24"/>
          <w:szCs w:val="24"/>
        </w:rPr>
        <w:t xml:space="preserve"> </w:t>
      </w:r>
      <w:r>
        <w:rPr>
          <w:rFonts w:cs="Calibri"/>
          <w:sz w:val="24"/>
          <w:szCs w:val="24"/>
        </w:rPr>
        <w:t>customers.</w:t>
      </w:r>
      <w:r w:rsidR="002514B0">
        <w:rPr>
          <w:rFonts w:cs="Calibri"/>
          <w:sz w:val="24"/>
          <w:szCs w:val="24"/>
        </w:rPr>
        <w:t xml:space="preserve"> </w:t>
      </w:r>
      <w:r>
        <w:rPr>
          <w:rFonts w:cs="Calibri"/>
          <w:sz w:val="24"/>
          <w:szCs w:val="24"/>
        </w:rPr>
        <w:t>Thus,</w:t>
      </w:r>
      <w:r w:rsidR="002514B0">
        <w:rPr>
          <w:rFonts w:cs="Calibri"/>
          <w:sz w:val="24"/>
          <w:szCs w:val="24"/>
        </w:rPr>
        <w:t xml:space="preserve"> </w:t>
      </w:r>
      <w:r>
        <w:rPr>
          <w:rFonts w:cs="Calibri"/>
          <w:sz w:val="24"/>
          <w:szCs w:val="24"/>
        </w:rPr>
        <w:t>costs</w:t>
      </w:r>
      <w:r w:rsidR="002514B0">
        <w:rPr>
          <w:rFonts w:cs="Calibri"/>
          <w:sz w:val="24"/>
          <w:szCs w:val="24"/>
        </w:rPr>
        <w:t xml:space="preserve"> </w:t>
      </w:r>
      <w:r>
        <w:rPr>
          <w:rFonts w:cs="Calibri"/>
          <w:sz w:val="24"/>
          <w:szCs w:val="24"/>
        </w:rPr>
        <w:t>and</w:t>
      </w:r>
      <w:r w:rsidR="002514B0">
        <w:rPr>
          <w:rFonts w:cs="Calibri"/>
          <w:sz w:val="24"/>
          <w:szCs w:val="24"/>
        </w:rPr>
        <w:t xml:space="preserve"> </w:t>
      </w:r>
      <w:r>
        <w:rPr>
          <w:rFonts w:cs="Calibri"/>
          <w:sz w:val="24"/>
          <w:szCs w:val="24"/>
        </w:rPr>
        <w:t>income</w:t>
      </w:r>
      <w:r w:rsidR="002514B0">
        <w:rPr>
          <w:rFonts w:cs="Calibri"/>
          <w:sz w:val="24"/>
          <w:szCs w:val="24"/>
        </w:rPr>
        <w:t xml:space="preserve"> </w:t>
      </w:r>
      <w:r>
        <w:rPr>
          <w:rFonts w:cs="Calibri"/>
          <w:sz w:val="24"/>
          <w:szCs w:val="24"/>
        </w:rPr>
        <w:t>for</w:t>
      </w:r>
      <w:r w:rsidR="002514B0">
        <w:rPr>
          <w:rFonts w:cs="Calibri"/>
          <w:sz w:val="24"/>
          <w:szCs w:val="24"/>
        </w:rPr>
        <w:t xml:space="preserve"> </w:t>
      </w:r>
      <w:r>
        <w:rPr>
          <w:rFonts w:cs="Calibri"/>
          <w:sz w:val="24"/>
          <w:szCs w:val="24"/>
        </w:rPr>
        <w:t>electricity</w:t>
      </w:r>
      <w:r w:rsidR="002514B0">
        <w:rPr>
          <w:rFonts w:cs="Calibri"/>
          <w:sz w:val="24"/>
          <w:szCs w:val="24"/>
        </w:rPr>
        <w:t xml:space="preserve"> </w:t>
      </w:r>
      <w:r>
        <w:rPr>
          <w:rFonts w:cs="Calibri"/>
          <w:sz w:val="24"/>
          <w:szCs w:val="24"/>
        </w:rPr>
        <w:t>ENO</w:t>
      </w:r>
      <w:r w:rsidR="002514B0">
        <w:rPr>
          <w:rFonts w:cs="Calibri"/>
          <w:sz w:val="24"/>
          <w:szCs w:val="24"/>
        </w:rPr>
        <w:t xml:space="preserve"> </w:t>
      </w:r>
      <w:r>
        <w:rPr>
          <w:rFonts w:cs="Calibri"/>
          <w:sz w:val="24"/>
          <w:szCs w:val="24"/>
        </w:rPr>
        <w:t>incurs</w:t>
      </w:r>
      <w:r w:rsidR="002514B0">
        <w:rPr>
          <w:rFonts w:cs="Calibri"/>
          <w:sz w:val="24"/>
          <w:szCs w:val="24"/>
        </w:rPr>
        <w:t xml:space="preserve"> </w:t>
      </w:r>
      <w:r>
        <w:rPr>
          <w:rFonts w:cs="Calibri"/>
          <w:sz w:val="24"/>
          <w:szCs w:val="24"/>
        </w:rPr>
        <w:t>are</w:t>
      </w:r>
      <w:r w:rsidR="002514B0">
        <w:rPr>
          <w:rFonts w:cs="Calibri"/>
          <w:sz w:val="24"/>
          <w:szCs w:val="24"/>
        </w:rPr>
        <w:t xml:space="preserve"> </w:t>
      </w:r>
      <w:r>
        <w:rPr>
          <w:rFonts w:cs="Calibri"/>
          <w:sz w:val="24"/>
          <w:szCs w:val="24"/>
        </w:rPr>
        <w:t>set</w:t>
      </w:r>
      <w:r w:rsidR="002514B0">
        <w:rPr>
          <w:rFonts w:cs="Calibri"/>
          <w:sz w:val="24"/>
          <w:szCs w:val="24"/>
        </w:rPr>
        <w:t xml:space="preserve"> </w:t>
      </w:r>
      <w:r>
        <w:rPr>
          <w:rFonts w:cs="Calibri"/>
          <w:sz w:val="24"/>
          <w:szCs w:val="24"/>
        </w:rPr>
        <w:t>by</w:t>
      </w:r>
      <w:r w:rsidR="002514B0">
        <w:rPr>
          <w:rFonts w:cs="Calibri"/>
          <w:sz w:val="24"/>
          <w:szCs w:val="24"/>
        </w:rPr>
        <w:t xml:space="preserve"> </w:t>
      </w:r>
      <w:r>
        <w:rPr>
          <w:rFonts w:cs="Calibri"/>
          <w:sz w:val="24"/>
          <w:szCs w:val="24"/>
        </w:rPr>
        <w:t>or</w:t>
      </w:r>
      <w:r w:rsidR="002514B0">
        <w:rPr>
          <w:rFonts w:cs="Calibri"/>
          <w:sz w:val="24"/>
          <w:szCs w:val="24"/>
        </w:rPr>
        <w:t xml:space="preserve"> </w:t>
      </w:r>
      <w:r>
        <w:rPr>
          <w:rFonts w:cs="Calibri"/>
          <w:sz w:val="24"/>
          <w:szCs w:val="24"/>
        </w:rPr>
        <w:t>reported</w:t>
      </w:r>
      <w:r w:rsidR="002514B0">
        <w:rPr>
          <w:rFonts w:cs="Calibri"/>
          <w:sz w:val="24"/>
          <w:szCs w:val="24"/>
        </w:rPr>
        <w:t xml:space="preserve"> </w:t>
      </w:r>
      <w:r>
        <w:rPr>
          <w:rFonts w:cs="Calibri"/>
          <w:sz w:val="24"/>
          <w:szCs w:val="24"/>
        </w:rPr>
        <w:t>by</w:t>
      </w:r>
      <w:r w:rsidR="002514B0">
        <w:rPr>
          <w:rFonts w:cs="Calibri"/>
          <w:sz w:val="24"/>
          <w:szCs w:val="24"/>
        </w:rPr>
        <w:t xml:space="preserve"> </w:t>
      </w:r>
      <w:r>
        <w:rPr>
          <w:rFonts w:cs="Calibri"/>
          <w:sz w:val="24"/>
          <w:szCs w:val="24"/>
        </w:rPr>
        <w:t>MISO’s</w:t>
      </w:r>
      <w:r w:rsidR="002514B0">
        <w:rPr>
          <w:rFonts w:cs="Calibri"/>
          <w:sz w:val="24"/>
          <w:szCs w:val="24"/>
        </w:rPr>
        <w:t xml:space="preserve"> </w:t>
      </w:r>
      <w:r>
        <w:rPr>
          <w:rFonts w:cs="Calibri"/>
          <w:sz w:val="24"/>
          <w:szCs w:val="24"/>
        </w:rPr>
        <w:t>prices.</w:t>
      </w:r>
      <w:r>
        <w:rPr>
          <w:rStyle w:val="FootnoteReference"/>
          <w:rFonts w:cs="Calibri"/>
          <w:sz w:val="24"/>
          <w:szCs w:val="24"/>
        </w:rPr>
        <w:footnoteReference w:id="43"/>
      </w:r>
      <w:r w:rsidR="002514B0">
        <w:rPr>
          <w:rFonts w:cs="Calibri"/>
          <w:sz w:val="24"/>
          <w:szCs w:val="24"/>
        </w:rPr>
        <w:t xml:space="preserve"> </w:t>
      </w:r>
      <w:r>
        <w:rPr>
          <w:rFonts w:cs="Calibri"/>
          <w:sz w:val="24"/>
          <w:szCs w:val="24"/>
        </w:rPr>
        <w:t>Thus,</w:t>
      </w:r>
      <w:r w:rsidR="002514B0">
        <w:rPr>
          <w:rFonts w:cs="Calibri"/>
          <w:sz w:val="24"/>
          <w:szCs w:val="24"/>
        </w:rPr>
        <w:t xml:space="preserve"> </w:t>
      </w:r>
      <w:r>
        <w:rPr>
          <w:rFonts w:cs="Calibri"/>
          <w:sz w:val="24"/>
          <w:szCs w:val="24"/>
        </w:rPr>
        <w:t>to</w:t>
      </w:r>
      <w:r w:rsidR="002514B0">
        <w:rPr>
          <w:rFonts w:cs="Calibri"/>
          <w:sz w:val="24"/>
          <w:szCs w:val="24"/>
        </w:rPr>
        <w:t xml:space="preserve"> </w:t>
      </w:r>
      <w:r>
        <w:rPr>
          <w:rFonts w:cs="Calibri"/>
          <w:sz w:val="24"/>
          <w:szCs w:val="24"/>
        </w:rPr>
        <w:t>a</w:t>
      </w:r>
      <w:r w:rsidR="002514B0">
        <w:rPr>
          <w:rFonts w:cs="Calibri"/>
          <w:sz w:val="24"/>
          <w:szCs w:val="24"/>
        </w:rPr>
        <w:t xml:space="preserve"> </w:t>
      </w:r>
      <w:r>
        <w:rPr>
          <w:rFonts w:cs="Calibri"/>
          <w:sz w:val="24"/>
          <w:szCs w:val="24"/>
        </w:rPr>
        <w:t>large</w:t>
      </w:r>
      <w:r w:rsidR="002514B0">
        <w:rPr>
          <w:rFonts w:cs="Calibri"/>
          <w:sz w:val="24"/>
          <w:szCs w:val="24"/>
        </w:rPr>
        <w:t xml:space="preserve"> </w:t>
      </w:r>
      <w:r>
        <w:rPr>
          <w:rFonts w:cs="Calibri"/>
          <w:sz w:val="24"/>
          <w:szCs w:val="24"/>
        </w:rPr>
        <w:t>extent</w:t>
      </w:r>
      <w:r>
        <w:rPr>
          <w:rStyle w:val="FootnoteReference"/>
          <w:rFonts w:cs="Calibri"/>
          <w:sz w:val="24"/>
          <w:szCs w:val="24"/>
        </w:rPr>
        <w:footnoteReference w:id="44"/>
      </w:r>
      <w:r>
        <w:rPr>
          <w:rFonts w:cs="Calibri"/>
          <w:sz w:val="24"/>
          <w:szCs w:val="24"/>
        </w:rPr>
        <w:t>,</w:t>
      </w:r>
      <w:r w:rsidR="002514B0">
        <w:rPr>
          <w:rFonts w:cs="Calibri"/>
          <w:sz w:val="24"/>
          <w:szCs w:val="24"/>
        </w:rPr>
        <w:t xml:space="preserve"> </w:t>
      </w:r>
      <w:r>
        <w:rPr>
          <w:rFonts w:cs="Calibri"/>
          <w:sz w:val="24"/>
          <w:szCs w:val="24"/>
        </w:rPr>
        <w:t>ENO’s</w:t>
      </w:r>
      <w:r w:rsidR="002514B0">
        <w:rPr>
          <w:rFonts w:cs="Calibri"/>
          <w:sz w:val="24"/>
          <w:szCs w:val="24"/>
        </w:rPr>
        <w:t xml:space="preserve"> </w:t>
      </w:r>
      <w:r>
        <w:rPr>
          <w:rFonts w:cs="Calibri"/>
          <w:sz w:val="24"/>
          <w:szCs w:val="24"/>
        </w:rPr>
        <w:t>membership</w:t>
      </w:r>
      <w:r w:rsidR="002514B0">
        <w:rPr>
          <w:rFonts w:cs="Calibri"/>
          <w:sz w:val="24"/>
          <w:szCs w:val="24"/>
        </w:rPr>
        <w:t xml:space="preserve"> </w:t>
      </w:r>
      <w:r>
        <w:rPr>
          <w:rFonts w:cs="Calibri"/>
          <w:sz w:val="24"/>
          <w:szCs w:val="24"/>
        </w:rPr>
        <w:t>in</w:t>
      </w:r>
      <w:r w:rsidR="002514B0">
        <w:rPr>
          <w:rFonts w:cs="Calibri"/>
          <w:sz w:val="24"/>
          <w:szCs w:val="24"/>
        </w:rPr>
        <w:t xml:space="preserve"> </w:t>
      </w:r>
      <w:r>
        <w:rPr>
          <w:rFonts w:cs="Calibri"/>
          <w:sz w:val="24"/>
          <w:szCs w:val="24"/>
        </w:rPr>
        <w:t>MISO</w:t>
      </w:r>
      <w:r w:rsidR="002514B0">
        <w:rPr>
          <w:rFonts w:cs="Calibri"/>
          <w:sz w:val="24"/>
          <w:szCs w:val="24"/>
        </w:rPr>
        <w:t xml:space="preserve"> </w:t>
      </w:r>
      <w:r>
        <w:rPr>
          <w:rFonts w:cs="Calibri"/>
          <w:sz w:val="24"/>
          <w:szCs w:val="24"/>
        </w:rPr>
        <w:t>determines</w:t>
      </w:r>
      <w:r w:rsidR="002514B0">
        <w:rPr>
          <w:rFonts w:cs="Calibri"/>
          <w:sz w:val="24"/>
          <w:szCs w:val="24"/>
        </w:rPr>
        <w:t xml:space="preserve"> </w:t>
      </w:r>
      <w:r>
        <w:rPr>
          <w:rFonts w:cs="Calibri"/>
          <w:sz w:val="24"/>
          <w:szCs w:val="24"/>
        </w:rPr>
        <w:t>and</w:t>
      </w:r>
      <w:r w:rsidR="002514B0">
        <w:rPr>
          <w:rFonts w:cs="Calibri"/>
          <w:sz w:val="24"/>
          <w:szCs w:val="24"/>
        </w:rPr>
        <w:t xml:space="preserve"> </w:t>
      </w:r>
      <w:r>
        <w:rPr>
          <w:rFonts w:cs="Calibri"/>
          <w:sz w:val="24"/>
          <w:szCs w:val="24"/>
        </w:rPr>
        <w:t>broadcasts</w:t>
      </w:r>
      <w:r w:rsidR="002514B0">
        <w:rPr>
          <w:rFonts w:cs="Calibri"/>
          <w:sz w:val="24"/>
          <w:szCs w:val="24"/>
        </w:rPr>
        <w:t xml:space="preserve"> </w:t>
      </w:r>
      <w:r>
        <w:rPr>
          <w:rFonts w:cs="Calibri"/>
          <w:sz w:val="24"/>
          <w:szCs w:val="24"/>
        </w:rPr>
        <w:t>the</w:t>
      </w:r>
      <w:r w:rsidR="002514B0">
        <w:rPr>
          <w:rFonts w:cs="Calibri"/>
          <w:sz w:val="24"/>
          <w:szCs w:val="24"/>
        </w:rPr>
        <w:t xml:space="preserve"> </w:t>
      </w:r>
      <w:r w:rsidRPr="008C5E0A">
        <w:rPr>
          <w:rFonts w:cs="Calibri"/>
          <w:b/>
          <w:i/>
          <w:sz w:val="24"/>
          <w:szCs w:val="24"/>
        </w:rPr>
        <w:t>cost</w:t>
      </w:r>
      <w:r w:rsidR="002514B0">
        <w:rPr>
          <w:rFonts w:cs="Calibri"/>
          <w:b/>
          <w:i/>
          <w:sz w:val="24"/>
          <w:szCs w:val="24"/>
        </w:rPr>
        <w:t xml:space="preserve"> </w:t>
      </w:r>
      <w:r w:rsidRPr="008C5E0A">
        <w:rPr>
          <w:rFonts w:cs="Calibri"/>
          <w:b/>
          <w:i/>
          <w:sz w:val="24"/>
          <w:szCs w:val="24"/>
        </w:rPr>
        <w:t>of</w:t>
      </w:r>
      <w:r w:rsidR="002514B0">
        <w:rPr>
          <w:rFonts w:cs="Calibri"/>
          <w:b/>
          <w:i/>
          <w:sz w:val="24"/>
          <w:szCs w:val="24"/>
        </w:rPr>
        <w:t xml:space="preserve"> </w:t>
      </w:r>
      <w:r w:rsidRPr="008C5E0A">
        <w:rPr>
          <w:rFonts w:cs="Calibri"/>
          <w:b/>
          <w:i/>
          <w:sz w:val="24"/>
          <w:szCs w:val="24"/>
        </w:rPr>
        <w:t>electricity</w:t>
      </w:r>
      <w:r>
        <w:rPr>
          <w:rStyle w:val="FootnoteReference"/>
          <w:rFonts w:cs="Calibri"/>
          <w:b/>
          <w:i/>
          <w:sz w:val="24"/>
          <w:szCs w:val="24"/>
        </w:rPr>
        <w:footnoteReference w:id="45"/>
      </w:r>
      <w:r w:rsidR="002514B0">
        <w:rPr>
          <w:rFonts w:cs="Calibri"/>
          <w:b/>
          <w:i/>
          <w:sz w:val="24"/>
          <w:szCs w:val="24"/>
        </w:rPr>
        <w:t xml:space="preserve"> </w:t>
      </w:r>
      <w:r w:rsidRPr="008C5E0A">
        <w:rPr>
          <w:rFonts w:cs="Calibri"/>
          <w:b/>
          <w:i/>
          <w:sz w:val="24"/>
          <w:szCs w:val="24"/>
        </w:rPr>
        <w:t>ENO</w:t>
      </w:r>
      <w:r w:rsidR="002514B0">
        <w:rPr>
          <w:rFonts w:cs="Calibri"/>
          <w:b/>
          <w:i/>
          <w:sz w:val="24"/>
          <w:szCs w:val="24"/>
        </w:rPr>
        <w:t xml:space="preserve"> </w:t>
      </w:r>
      <w:r w:rsidRPr="008C5E0A">
        <w:rPr>
          <w:rFonts w:cs="Calibri"/>
          <w:b/>
          <w:i/>
          <w:sz w:val="24"/>
          <w:szCs w:val="24"/>
        </w:rPr>
        <w:t>incurs</w:t>
      </w:r>
      <w:r>
        <w:rPr>
          <w:rFonts w:cs="Calibri"/>
          <w:sz w:val="24"/>
          <w:szCs w:val="24"/>
        </w:rPr>
        <w:t>.</w:t>
      </w:r>
      <w:r w:rsidR="002514B0">
        <w:rPr>
          <w:rFonts w:cs="Calibri"/>
          <w:sz w:val="24"/>
          <w:szCs w:val="24"/>
        </w:rPr>
        <w:t xml:space="preserve"> </w:t>
      </w:r>
      <w:r>
        <w:rPr>
          <w:rFonts w:cs="Calibri"/>
          <w:sz w:val="24"/>
          <w:szCs w:val="24"/>
        </w:rPr>
        <w:t>BSI</w:t>
      </w:r>
      <w:r w:rsidR="002514B0">
        <w:rPr>
          <w:rFonts w:cs="Calibri"/>
          <w:sz w:val="24"/>
          <w:szCs w:val="24"/>
        </w:rPr>
        <w:t xml:space="preserve"> </w:t>
      </w:r>
      <w:r>
        <w:rPr>
          <w:rFonts w:cs="Calibri"/>
          <w:sz w:val="24"/>
          <w:szCs w:val="24"/>
        </w:rPr>
        <w:t>contends</w:t>
      </w:r>
      <w:r w:rsidR="002514B0">
        <w:rPr>
          <w:rFonts w:cs="Calibri"/>
          <w:sz w:val="24"/>
          <w:szCs w:val="24"/>
        </w:rPr>
        <w:t xml:space="preserve"> </w:t>
      </w:r>
      <w:r>
        <w:rPr>
          <w:rFonts w:cs="Calibri"/>
          <w:sz w:val="24"/>
          <w:szCs w:val="24"/>
        </w:rPr>
        <w:t>that</w:t>
      </w:r>
      <w:r w:rsidR="002514B0">
        <w:rPr>
          <w:rFonts w:cs="Calibri"/>
          <w:sz w:val="24"/>
          <w:szCs w:val="24"/>
        </w:rPr>
        <w:t xml:space="preserve"> </w:t>
      </w:r>
      <w:r>
        <w:rPr>
          <w:rFonts w:cs="Calibri"/>
          <w:sz w:val="24"/>
          <w:szCs w:val="24"/>
        </w:rPr>
        <w:t>whether</w:t>
      </w:r>
      <w:r w:rsidR="002514B0">
        <w:rPr>
          <w:rFonts w:cs="Calibri"/>
          <w:sz w:val="24"/>
          <w:szCs w:val="24"/>
        </w:rPr>
        <w:t xml:space="preserve"> </w:t>
      </w:r>
      <w:r>
        <w:rPr>
          <w:rFonts w:cs="Calibri"/>
          <w:sz w:val="24"/>
          <w:szCs w:val="24"/>
        </w:rPr>
        <w:t>or</w:t>
      </w:r>
      <w:r w:rsidR="002514B0">
        <w:rPr>
          <w:rFonts w:cs="Calibri"/>
          <w:sz w:val="24"/>
          <w:szCs w:val="24"/>
        </w:rPr>
        <w:t xml:space="preserve"> </w:t>
      </w:r>
      <w:r>
        <w:rPr>
          <w:rFonts w:cs="Calibri"/>
          <w:sz w:val="24"/>
          <w:szCs w:val="24"/>
        </w:rPr>
        <w:t>not</w:t>
      </w:r>
      <w:r w:rsidR="002514B0">
        <w:rPr>
          <w:rFonts w:cs="Calibri"/>
          <w:sz w:val="24"/>
          <w:szCs w:val="24"/>
        </w:rPr>
        <w:t xml:space="preserve"> </w:t>
      </w:r>
      <w:r>
        <w:rPr>
          <w:rFonts w:cs="Calibri"/>
          <w:sz w:val="24"/>
          <w:szCs w:val="24"/>
        </w:rPr>
        <w:t>D=0,</w:t>
      </w:r>
      <w:r w:rsidR="002514B0">
        <w:rPr>
          <w:rFonts w:cs="Calibri"/>
          <w:sz w:val="24"/>
          <w:szCs w:val="24"/>
        </w:rPr>
        <w:t xml:space="preserve"> </w:t>
      </w:r>
      <w:r>
        <w:rPr>
          <w:rFonts w:cs="Calibri"/>
          <w:sz w:val="24"/>
          <w:szCs w:val="24"/>
        </w:rPr>
        <w:t>ENO’s</w:t>
      </w:r>
      <w:r w:rsidR="002514B0">
        <w:rPr>
          <w:rFonts w:cs="Calibri"/>
          <w:sz w:val="24"/>
          <w:szCs w:val="24"/>
        </w:rPr>
        <w:t xml:space="preserve"> </w:t>
      </w:r>
      <w:r>
        <w:rPr>
          <w:rFonts w:cs="Calibri"/>
          <w:sz w:val="24"/>
          <w:szCs w:val="24"/>
        </w:rPr>
        <w:t>cost-of-energy</w:t>
      </w:r>
      <w:r w:rsidR="002514B0">
        <w:rPr>
          <w:rFonts w:cs="Calibri"/>
          <w:sz w:val="24"/>
          <w:szCs w:val="24"/>
        </w:rPr>
        <w:t xml:space="preserve"> </w:t>
      </w:r>
      <w:r>
        <w:rPr>
          <w:rFonts w:cs="Calibri"/>
          <w:sz w:val="24"/>
          <w:szCs w:val="24"/>
        </w:rPr>
        <w:t>should</w:t>
      </w:r>
      <w:r w:rsidR="002514B0">
        <w:rPr>
          <w:rFonts w:cs="Calibri"/>
          <w:sz w:val="24"/>
          <w:szCs w:val="24"/>
        </w:rPr>
        <w:t xml:space="preserve"> </w:t>
      </w:r>
      <w:r>
        <w:rPr>
          <w:rFonts w:cs="Calibri"/>
          <w:sz w:val="24"/>
          <w:szCs w:val="24"/>
        </w:rPr>
        <w:t>be</w:t>
      </w:r>
      <w:r w:rsidR="002514B0">
        <w:rPr>
          <w:rFonts w:cs="Calibri"/>
          <w:sz w:val="24"/>
          <w:szCs w:val="24"/>
        </w:rPr>
        <w:t xml:space="preserve"> </w:t>
      </w:r>
      <w:r>
        <w:rPr>
          <w:rFonts w:cs="Calibri"/>
          <w:sz w:val="24"/>
          <w:szCs w:val="24"/>
        </w:rPr>
        <w:t>calculated</w:t>
      </w:r>
      <w:r w:rsidR="002514B0">
        <w:rPr>
          <w:rFonts w:cs="Calibri"/>
          <w:sz w:val="24"/>
          <w:szCs w:val="24"/>
        </w:rPr>
        <w:t xml:space="preserve"> </w:t>
      </w:r>
      <w:r>
        <w:rPr>
          <w:rFonts w:cs="Calibri"/>
          <w:sz w:val="24"/>
          <w:szCs w:val="24"/>
        </w:rPr>
        <w:t>as</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monthly</w:t>
      </w:r>
      <w:r w:rsidR="002514B0">
        <w:rPr>
          <w:rFonts w:cs="Calibri"/>
          <w:sz w:val="24"/>
          <w:szCs w:val="24"/>
        </w:rPr>
        <w:t xml:space="preserve"> </w:t>
      </w:r>
      <w:r>
        <w:rPr>
          <w:rFonts w:cs="Calibri"/>
          <w:sz w:val="24"/>
          <w:szCs w:val="24"/>
        </w:rPr>
        <w:t>weighted</w:t>
      </w:r>
      <w:r w:rsidR="002514B0">
        <w:rPr>
          <w:rFonts w:cs="Calibri"/>
          <w:sz w:val="24"/>
          <w:szCs w:val="24"/>
        </w:rPr>
        <w:t xml:space="preserve"> </w:t>
      </w:r>
      <w:r>
        <w:rPr>
          <w:rFonts w:cs="Calibri"/>
          <w:sz w:val="24"/>
          <w:szCs w:val="24"/>
        </w:rPr>
        <w:t>average</w:t>
      </w:r>
      <w:r w:rsidR="002514B0">
        <w:rPr>
          <w:rFonts w:cs="Calibri"/>
          <w:sz w:val="24"/>
          <w:szCs w:val="24"/>
        </w:rPr>
        <w:t xml:space="preserve"> </w:t>
      </w:r>
      <w:r>
        <w:rPr>
          <w:rFonts w:cs="Calibri"/>
          <w:sz w:val="24"/>
          <w:szCs w:val="24"/>
        </w:rPr>
        <w:t>wholesale</w:t>
      </w:r>
      <w:r w:rsidR="002514B0">
        <w:rPr>
          <w:rFonts w:cs="Calibri"/>
          <w:sz w:val="24"/>
          <w:szCs w:val="24"/>
        </w:rPr>
        <w:t xml:space="preserve"> </w:t>
      </w:r>
      <w:r>
        <w:rPr>
          <w:rFonts w:cs="Calibri"/>
          <w:sz w:val="24"/>
          <w:szCs w:val="24"/>
        </w:rPr>
        <w:t>price,</w:t>
      </w:r>
      <w:r w:rsidR="002514B0">
        <w:rPr>
          <w:rFonts w:cs="Calibri"/>
          <w:sz w:val="24"/>
          <w:szCs w:val="24"/>
        </w:rPr>
        <w:t xml:space="preserve"> </w:t>
      </w:r>
      <w:r>
        <w:rPr>
          <w:rFonts w:cs="Calibri"/>
          <w:sz w:val="24"/>
          <w:szCs w:val="24"/>
        </w:rPr>
        <w:t>via:</w:t>
      </w:r>
      <w:r>
        <w:rPr>
          <w:rStyle w:val="FootnoteReference"/>
          <w:rFonts w:cs="Calibri"/>
          <w:sz w:val="24"/>
          <w:szCs w:val="24"/>
        </w:rPr>
        <w:footnoteReference w:id="46"/>
      </w:r>
    </w:p>
    <w:p w14:paraId="01F07683" w14:textId="6622B2D2" w:rsidR="002D6F19" w:rsidRDefault="002514B0" w:rsidP="002D6F19">
      <w:pPr>
        <w:spacing w:after="120" w:line="400" w:lineRule="exact"/>
        <w:rPr>
          <w:sz w:val="24"/>
          <w:szCs w:val="24"/>
        </w:rPr>
      </w:pPr>
      <w:r>
        <w:rPr>
          <w:rFonts w:cs="Calibri"/>
          <w:sz w:val="24"/>
          <w:szCs w:val="24"/>
        </w:rPr>
        <w:t xml:space="preserve"> </w:t>
      </w:r>
      <w:r w:rsidR="002D6F19" w:rsidRPr="005261E6">
        <w:rPr>
          <w:rFonts w:cs="Calibri"/>
          <w:sz w:val="24"/>
          <w:szCs w:val="24"/>
        </w:rPr>
        <w:t>Let</w:t>
      </w:r>
      <w:r>
        <w:rPr>
          <w:rFonts w:cs="Calibri"/>
          <w:sz w:val="24"/>
          <w:szCs w:val="24"/>
        </w:rPr>
        <w:t xml:space="preserve"> </w:t>
      </w:r>
      <w:r w:rsidR="002D6F19" w:rsidRPr="00692062">
        <w:rPr>
          <w:rFonts w:cs="Calibri"/>
          <w:b/>
          <w:sz w:val="24"/>
          <w:szCs w:val="24"/>
        </w:rPr>
        <w:t>e</w:t>
      </w:r>
      <w:r>
        <w:rPr>
          <w:rFonts w:cs="Calibri"/>
          <w:sz w:val="24"/>
          <w:szCs w:val="24"/>
        </w:rPr>
        <w:t xml:space="preserve"> </w:t>
      </w:r>
      <w:r w:rsidR="002D6F19">
        <w:rPr>
          <w:rFonts w:cs="Calibri"/>
          <w:sz w:val="24"/>
          <w:szCs w:val="24"/>
        </w:rPr>
        <w:t>=</w:t>
      </w:r>
      <w:r>
        <w:rPr>
          <w:rFonts w:cs="Calibri"/>
          <w:sz w:val="24"/>
          <w:szCs w:val="24"/>
        </w:rPr>
        <w:t xml:space="preserve"> </w:t>
      </w:r>
      <w:r w:rsidR="002D6F19">
        <w:rPr>
          <w:rFonts w:cs="Calibri"/>
          <w:sz w:val="24"/>
          <w:szCs w:val="24"/>
        </w:rPr>
        <w:t>[</w:t>
      </w:r>
      <w:r>
        <w:rPr>
          <w:rFonts w:cs="Calibri"/>
          <w:sz w:val="24"/>
          <w:szCs w:val="24"/>
        </w:rPr>
        <w:t xml:space="preserve"> </w:t>
      </w:r>
      <w:r w:rsidR="002D6F19">
        <w:rPr>
          <w:sz w:val="24"/>
          <w:szCs w:val="24"/>
        </w:rPr>
        <w:t>∑</w:t>
      </w:r>
      <w:r>
        <w:rPr>
          <w:sz w:val="24"/>
          <w:szCs w:val="24"/>
        </w:rPr>
        <w:t xml:space="preserve"> </w:t>
      </w:r>
      <w:r w:rsidR="002D6F19" w:rsidRPr="00692062">
        <w:rPr>
          <w:b/>
          <w:sz w:val="24"/>
          <w:szCs w:val="24"/>
        </w:rPr>
        <w:t>N</w:t>
      </w:r>
      <w:r w:rsidR="002D6F19" w:rsidRPr="00692062">
        <w:rPr>
          <w:sz w:val="24"/>
          <w:szCs w:val="24"/>
          <w:vertAlign w:val="subscript"/>
        </w:rPr>
        <w:t>i</w:t>
      </w:r>
      <w:r>
        <w:rPr>
          <w:sz w:val="24"/>
          <w:szCs w:val="24"/>
        </w:rPr>
        <w:t xml:space="preserve"> </w:t>
      </w:r>
      <w:r w:rsidR="002D6F19">
        <w:rPr>
          <w:sz w:val="24"/>
          <w:szCs w:val="24"/>
        </w:rPr>
        <w:t>*</w:t>
      </w:r>
      <w:r>
        <w:rPr>
          <w:sz w:val="24"/>
          <w:szCs w:val="24"/>
        </w:rPr>
        <w:t xml:space="preserve"> </w:t>
      </w:r>
      <w:r w:rsidR="002D6F19" w:rsidRPr="00692062">
        <w:rPr>
          <w:b/>
          <w:sz w:val="24"/>
          <w:szCs w:val="24"/>
        </w:rPr>
        <w:t>w</w:t>
      </w:r>
      <w:r w:rsidR="002D6F19" w:rsidRPr="00692062">
        <w:rPr>
          <w:sz w:val="24"/>
          <w:szCs w:val="24"/>
          <w:vertAlign w:val="subscript"/>
        </w:rPr>
        <w:t>i</w:t>
      </w:r>
      <w:r>
        <w:rPr>
          <w:sz w:val="24"/>
          <w:szCs w:val="24"/>
        </w:rPr>
        <w:t xml:space="preserve"> </w:t>
      </w:r>
      <w:r w:rsidR="002D6F19">
        <w:rPr>
          <w:sz w:val="24"/>
          <w:szCs w:val="24"/>
        </w:rPr>
        <w:t>-</w:t>
      </w:r>
      <w:r>
        <w:rPr>
          <w:sz w:val="24"/>
          <w:szCs w:val="24"/>
        </w:rPr>
        <w:t xml:space="preserve"> </w:t>
      </w:r>
      <w:r w:rsidR="002D6F19">
        <w:rPr>
          <w:sz w:val="24"/>
          <w:szCs w:val="24"/>
        </w:rPr>
        <w:t>∑</w:t>
      </w:r>
      <w:r>
        <w:rPr>
          <w:sz w:val="24"/>
          <w:szCs w:val="24"/>
        </w:rPr>
        <w:t xml:space="preserve"> </w:t>
      </w:r>
      <w:r w:rsidR="002D6F19" w:rsidRPr="008F7CED">
        <w:rPr>
          <w:b/>
          <w:sz w:val="24"/>
          <w:szCs w:val="24"/>
          <w:u w:val="single"/>
        </w:rPr>
        <w:t>N</w:t>
      </w:r>
      <w:r w:rsidR="002D6F19" w:rsidRPr="008F7CED">
        <w:rPr>
          <w:sz w:val="24"/>
          <w:szCs w:val="24"/>
          <w:u w:val="single"/>
          <w:vertAlign w:val="subscript"/>
        </w:rPr>
        <w:t>i</w:t>
      </w:r>
      <w:r>
        <w:rPr>
          <w:sz w:val="24"/>
          <w:szCs w:val="24"/>
        </w:rPr>
        <w:t xml:space="preserve"> </w:t>
      </w:r>
      <w:r w:rsidR="002D6F19">
        <w:rPr>
          <w:sz w:val="24"/>
          <w:szCs w:val="24"/>
        </w:rPr>
        <w:t>*</w:t>
      </w:r>
      <w:r>
        <w:rPr>
          <w:sz w:val="24"/>
          <w:szCs w:val="24"/>
        </w:rPr>
        <w:t xml:space="preserve"> </w:t>
      </w:r>
      <w:r w:rsidR="002D6F19" w:rsidRPr="00692062">
        <w:rPr>
          <w:b/>
          <w:sz w:val="24"/>
          <w:szCs w:val="24"/>
        </w:rPr>
        <w:t>w</w:t>
      </w:r>
      <w:r w:rsidR="002D6F19" w:rsidRPr="00692062">
        <w:rPr>
          <w:sz w:val="24"/>
          <w:szCs w:val="24"/>
          <w:vertAlign w:val="subscript"/>
        </w:rPr>
        <w:t>i</w:t>
      </w:r>
      <w:r>
        <w:rPr>
          <w:sz w:val="24"/>
          <w:szCs w:val="24"/>
        </w:rPr>
        <w:t xml:space="preserve"> </w:t>
      </w:r>
      <w:r w:rsidR="002D6F19">
        <w:rPr>
          <w:sz w:val="24"/>
          <w:szCs w:val="24"/>
        </w:rPr>
        <w:t>]</w:t>
      </w:r>
      <w:r>
        <w:rPr>
          <w:sz w:val="24"/>
          <w:szCs w:val="24"/>
        </w:rPr>
        <w:t xml:space="preserve"> </w:t>
      </w:r>
      <w:r w:rsidR="002D6F19">
        <w:rPr>
          <w:sz w:val="24"/>
          <w:szCs w:val="24"/>
        </w:rPr>
        <w:t>/</w:t>
      </w:r>
      <w:r>
        <w:rPr>
          <w:sz w:val="24"/>
          <w:szCs w:val="24"/>
        </w:rPr>
        <w:t xml:space="preserve"> </w:t>
      </w:r>
      <w:r w:rsidR="002D6F19">
        <w:rPr>
          <w:sz w:val="24"/>
          <w:szCs w:val="24"/>
        </w:rPr>
        <w:t>[∑</w:t>
      </w:r>
      <w:r>
        <w:rPr>
          <w:sz w:val="24"/>
          <w:szCs w:val="24"/>
        </w:rPr>
        <w:t xml:space="preserve"> </w:t>
      </w:r>
      <w:r w:rsidR="002D6F19" w:rsidRPr="00692062">
        <w:rPr>
          <w:b/>
          <w:sz w:val="24"/>
          <w:szCs w:val="24"/>
        </w:rPr>
        <w:t>N</w:t>
      </w:r>
      <w:r w:rsidR="002D6F19" w:rsidRPr="00692062">
        <w:rPr>
          <w:sz w:val="24"/>
          <w:szCs w:val="24"/>
          <w:vertAlign w:val="subscript"/>
        </w:rPr>
        <w:t>i</w:t>
      </w:r>
      <w:r>
        <w:rPr>
          <w:sz w:val="24"/>
          <w:szCs w:val="24"/>
        </w:rPr>
        <w:t xml:space="preserve"> </w:t>
      </w:r>
      <w:r w:rsidR="002D6F19">
        <w:rPr>
          <w:sz w:val="24"/>
          <w:szCs w:val="24"/>
        </w:rPr>
        <w:t>-</w:t>
      </w:r>
      <w:r>
        <w:rPr>
          <w:sz w:val="24"/>
          <w:szCs w:val="24"/>
        </w:rPr>
        <w:t xml:space="preserve"> </w:t>
      </w:r>
      <w:r w:rsidR="002D6F19">
        <w:rPr>
          <w:sz w:val="24"/>
          <w:szCs w:val="24"/>
        </w:rPr>
        <w:t>∑</w:t>
      </w:r>
      <w:r>
        <w:rPr>
          <w:sz w:val="24"/>
          <w:szCs w:val="24"/>
        </w:rPr>
        <w:t xml:space="preserve"> </w:t>
      </w:r>
      <w:r w:rsidR="002D6F19" w:rsidRPr="008F7CED">
        <w:rPr>
          <w:b/>
          <w:sz w:val="24"/>
          <w:szCs w:val="24"/>
          <w:u w:val="single"/>
        </w:rPr>
        <w:t>N</w:t>
      </w:r>
      <w:r w:rsidR="002D6F19" w:rsidRPr="008F7CED">
        <w:rPr>
          <w:sz w:val="24"/>
          <w:szCs w:val="24"/>
          <w:u w:val="single"/>
          <w:vertAlign w:val="subscript"/>
        </w:rPr>
        <w:t>i</w:t>
      </w:r>
      <w:r>
        <w:rPr>
          <w:sz w:val="24"/>
          <w:szCs w:val="24"/>
        </w:rPr>
        <w:t xml:space="preserve"> </w:t>
      </w:r>
      <w:r w:rsidR="002D6F19">
        <w:rPr>
          <w:sz w:val="24"/>
          <w:szCs w:val="24"/>
        </w:rPr>
        <w:t>]</w:t>
      </w:r>
      <w:r>
        <w:rPr>
          <w:sz w:val="24"/>
          <w:szCs w:val="24"/>
        </w:rPr>
        <w:t xml:space="preserve"> </w:t>
      </w:r>
      <w:r w:rsidR="002D6F19">
        <w:rPr>
          <w:sz w:val="24"/>
          <w:szCs w:val="24"/>
        </w:rPr>
        <w:t>is</w:t>
      </w:r>
      <w:r>
        <w:rPr>
          <w:sz w:val="24"/>
          <w:szCs w:val="24"/>
        </w:rPr>
        <w:t xml:space="preserve"> </w:t>
      </w:r>
      <w:r w:rsidR="002D6F19">
        <w:rPr>
          <w:sz w:val="24"/>
          <w:szCs w:val="24"/>
        </w:rPr>
        <w:t>calculated</w:t>
      </w:r>
      <w:r>
        <w:rPr>
          <w:sz w:val="24"/>
          <w:szCs w:val="24"/>
        </w:rPr>
        <w:t xml:space="preserve"> </w:t>
      </w:r>
      <w:r w:rsidR="002D6F19">
        <w:rPr>
          <w:sz w:val="24"/>
          <w:szCs w:val="24"/>
        </w:rPr>
        <w:t>monthly,</w:t>
      </w:r>
      <w:r>
        <w:rPr>
          <w:sz w:val="24"/>
          <w:szCs w:val="24"/>
        </w:rPr>
        <w:t xml:space="preserve"> </w:t>
      </w:r>
      <w:r w:rsidR="002D6F19">
        <w:rPr>
          <w:sz w:val="24"/>
          <w:szCs w:val="24"/>
        </w:rPr>
        <w:t>where:</w:t>
      </w:r>
    </w:p>
    <w:p w14:paraId="00FF2F19" w14:textId="2AD0829F" w:rsidR="002D6F19" w:rsidRDefault="002D6F19" w:rsidP="002D6F19">
      <w:pPr>
        <w:spacing w:after="120" w:line="400" w:lineRule="exact"/>
        <w:ind w:left="994"/>
        <w:rPr>
          <w:rFonts w:cs="Calibri"/>
          <w:sz w:val="24"/>
          <w:szCs w:val="24"/>
        </w:rPr>
      </w:pPr>
      <w:r w:rsidRPr="00692062">
        <w:rPr>
          <w:b/>
          <w:sz w:val="24"/>
          <w:szCs w:val="24"/>
        </w:rPr>
        <w:t>N</w:t>
      </w:r>
      <w:r w:rsidRPr="00692062">
        <w:rPr>
          <w:sz w:val="24"/>
          <w:szCs w:val="24"/>
          <w:vertAlign w:val="subscript"/>
        </w:rPr>
        <w:t>i</w:t>
      </w:r>
      <w:r w:rsidR="002514B0">
        <w:rPr>
          <w:sz w:val="24"/>
          <w:szCs w:val="24"/>
        </w:rPr>
        <w:t xml:space="preserve"> </w:t>
      </w:r>
      <w:r>
        <w:rPr>
          <w:sz w:val="24"/>
          <w:szCs w:val="24"/>
        </w:rPr>
        <w:t>is</w:t>
      </w:r>
      <w:r w:rsidR="002514B0">
        <w:rPr>
          <w:sz w:val="24"/>
          <w:szCs w:val="24"/>
        </w:rPr>
        <w:t xml:space="preserve"> </w:t>
      </w:r>
      <w:r>
        <w:rPr>
          <w:sz w:val="24"/>
          <w:szCs w:val="24"/>
        </w:rPr>
        <w:t>the</w:t>
      </w:r>
      <w:r w:rsidR="002514B0">
        <w:rPr>
          <w:sz w:val="24"/>
          <w:szCs w:val="24"/>
        </w:rPr>
        <w:t xml:space="preserve"> </w:t>
      </w:r>
      <w:r>
        <w:rPr>
          <w:sz w:val="24"/>
          <w:szCs w:val="24"/>
        </w:rPr>
        <w:t>number</w:t>
      </w:r>
      <w:r w:rsidR="002514B0">
        <w:rPr>
          <w:sz w:val="24"/>
          <w:szCs w:val="24"/>
        </w:rPr>
        <w:t xml:space="preserve"> </w:t>
      </w:r>
      <w:r>
        <w:rPr>
          <w:sz w:val="24"/>
          <w:szCs w:val="24"/>
        </w:rPr>
        <w:t>of</w:t>
      </w:r>
      <w:r w:rsidR="002514B0">
        <w:rPr>
          <w:sz w:val="24"/>
          <w:szCs w:val="24"/>
        </w:rPr>
        <w:t xml:space="preserve"> </w:t>
      </w:r>
      <w:r>
        <w:rPr>
          <w:sz w:val="24"/>
          <w:szCs w:val="24"/>
        </w:rPr>
        <w:t>kWhs</w:t>
      </w:r>
      <w:r w:rsidR="002514B0">
        <w:rPr>
          <w:sz w:val="24"/>
          <w:szCs w:val="24"/>
        </w:rPr>
        <w:t xml:space="preserve"> </w:t>
      </w:r>
      <w:r w:rsidRPr="008F7CED">
        <w:rPr>
          <w:b/>
          <w:i/>
          <w:sz w:val="24"/>
          <w:szCs w:val="24"/>
        </w:rPr>
        <w:t>purchased</w:t>
      </w:r>
      <w:r w:rsidR="002514B0">
        <w:rPr>
          <w:sz w:val="24"/>
          <w:szCs w:val="24"/>
        </w:rPr>
        <w:t xml:space="preserve"> </w:t>
      </w:r>
      <w:r>
        <w:rPr>
          <w:sz w:val="24"/>
          <w:szCs w:val="24"/>
        </w:rPr>
        <w:t>by</w:t>
      </w:r>
      <w:r w:rsidR="002514B0">
        <w:rPr>
          <w:sz w:val="24"/>
          <w:szCs w:val="24"/>
        </w:rPr>
        <w:t xml:space="preserve"> </w:t>
      </w:r>
      <w:r>
        <w:rPr>
          <w:sz w:val="24"/>
          <w:szCs w:val="24"/>
        </w:rPr>
        <w:t>all</w:t>
      </w:r>
      <w:r w:rsidR="002514B0">
        <w:rPr>
          <w:sz w:val="24"/>
          <w:szCs w:val="24"/>
        </w:rPr>
        <w:t xml:space="preserve"> </w:t>
      </w:r>
      <w:r>
        <w:rPr>
          <w:sz w:val="24"/>
          <w:szCs w:val="24"/>
        </w:rPr>
        <w:t>ENO</w:t>
      </w:r>
      <w:r w:rsidR="002514B0">
        <w:rPr>
          <w:sz w:val="24"/>
          <w:szCs w:val="24"/>
        </w:rPr>
        <w:t xml:space="preserve"> </w:t>
      </w:r>
      <w:r>
        <w:rPr>
          <w:sz w:val="24"/>
          <w:szCs w:val="24"/>
        </w:rPr>
        <w:t>customers</w:t>
      </w:r>
      <w:r w:rsidR="002514B0">
        <w:rPr>
          <w:sz w:val="24"/>
          <w:szCs w:val="24"/>
        </w:rPr>
        <w:t xml:space="preserve"> </w:t>
      </w:r>
      <w:r>
        <w:rPr>
          <w:sz w:val="24"/>
          <w:szCs w:val="24"/>
        </w:rPr>
        <w:t>while</w:t>
      </w:r>
      <w:r w:rsidR="002514B0">
        <w:rPr>
          <w:sz w:val="24"/>
          <w:szCs w:val="24"/>
        </w:rPr>
        <w:t xml:space="preserve"> </w:t>
      </w:r>
      <w:r>
        <w:rPr>
          <w:sz w:val="24"/>
          <w:szCs w:val="24"/>
        </w:rPr>
        <w:t>the</w:t>
      </w:r>
      <w:r w:rsidR="002514B0">
        <w:rPr>
          <w:sz w:val="24"/>
          <w:szCs w:val="24"/>
        </w:rPr>
        <w:t xml:space="preserve"> </w:t>
      </w:r>
      <w:r>
        <w:rPr>
          <w:sz w:val="24"/>
          <w:szCs w:val="24"/>
        </w:rPr>
        <w:t>MISO</w:t>
      </w:r>
      <w:r w:rsidR="002514B0">
        <w:rPr>
          <w:sz w:val="24"/>
          <w:szCs w:val="24"/>
        </w:rPr>
        <w:t xml:space="preserve"> </w:t>
      </w:r>
      <w:r>
        <w:rPr>
          <w:sz w:val="24"/>
          <w:szCs w:val="24"/>
        </w:rPr>
        <w:t>price</w:t>
      </w:r>
      <w:r w:rsidR="002514B0">
        <w:rPr>
          <w:sz w:val="24"/>
          <w:szCs w:val="24"/>
        </w:rPr>
        <w:t xml:space="preserve"> </w:t>
      </w:r>
      <w:r>
        <w:rPr>
          <w:sz w:val="24"/>
          <w:szCs w:val="24"/>
        </w:rPr>
        <w:t>is</w:t>
      </w:r>
      <w:r w:rsidR="002514B0">
        <w:rPr>
          <w:sz w:val="24"/>
          <w:szCs w:val="24"/>
        </w:rPr>
        <w:t xml:space="preserve"> </w:t>
      </w:r>
      <w:r w:rsidRPr="00692062">
        <w:rPr>
          <w:b/>
          <w:sz w:val="24"/>
          <w:szCs w:val="24"/>
        </w:rPr>
        <w:t>w</w:t>
      </w:r>
      <w:r w:rsidRPr="00692062">
        <w:rPr>
          <w:sz w:val="24"/>
          <w:szCs w:val="24"/>
          <w:vertAlign w:val="subscript"/>
        </w:rPr>
        <w:t>i</w:t>
      </w:r>
      <w:r w:rsidR="002514B0">
        <w:rPr>
          <w:sz w:val="24"/>
          <w:szCs w:val="24"/>
        </w:rPr>
        <w:t xml:space="preserve"> </w:t>
      </w:r>
      <w:r>
        <w:rPr>
          <w:sz w:val="24"/>
          <w:szCs w:val="24"/>
        </w:rPr>
        <w:t>and</w:t>
      </w:r>
      <w:r w:rsidR="002514B0">
        <w:rPr>
          <w:sz w:val="24"/>
          <w:szCs w:val="24"/>
        </w:rPr>
        <w:t xml:space="preserve"> </w:t>
      </w:r>
      <w:r w:rsidRPr="008F7CED">
        <w:rPr>
          <w:b/>
          <w:sz w:val="24"/>
          <w:szCs w:val="24"/>
          <w:u w:val="single"/>
        </w:rPr>
        <w:t>N</w:t>
      </w:r>
      <w:r w:rsidRPr="008F7CED">
        <w:rPr>
          <w:sz w:val="24"/>
          <w:szCs w:val="24"/>
          <w:u w:val="single"/>
          <w:vertAlign w:val="subscript"/>
        </w:rPr>
        <w:t>i</w:t>
      </w:r>
      <w:r w:rsidR="002514B0">
        <w:rPr>
          <w:sz w:val="24"/>
          <w:szCs w:val="24"/>
        </w:rPr>
        <w:t xml:space="preserve"> </w:t>
      </w:r>
      <w:r>
        <w:rPr>
          <w:sz w:val="24"/>
          <w:szCs w:val="24"/>
        </w:rPr>
        <w:t>is</w:t>
      </w:r>
      <w:r w:rsidR="002514B0">
        <w:rPr>
          <w:sz w:val="24"/>
          <w:szCs w:val="24"/>
        </w:rPr>
        <w:t xml:space="preserve"> </w:t>
      </w:r>
      <w:r>
        <w:rPr>
          <w:sz w:val="24"/>
          <w:szCs w:val="24"/>
        </w:rPr>
        <w:t>the</w:t>
      </w:r>
      <w:r w:rsidR="002514B0">
        <w:rPr>
          <w:sz w:val="24"/>
          <w:szCs w:val="24"/>
        </w:rPr>
        <w:t xml:space="preserve"> </w:t>
      </w:r>
      <w:r>
        <w:rPr>
          <w:sz w:val="24"/>
          <w:szCs w:val="24"/>
        </w:rPr>
        <w:t>number</w:t>
      </w:r>
      <w:r w:rsidR="002514B0">
        <w:rPr>
          <w:sz w:val="24"/>
          <w:szCs w:val="24"/>
        </w:rPr>
        <w:t xml:space="preserve"> </w:t>
      </w:r>
      <w:r>
        <w:rPr>
          <w:sz w:val="24"/>
          <w:szCs w:val="24"/>
        </w:rPr>
        <w:t>of</w:t>
      </w:r>
      <w:r w:rsidR="002514B0">
        <w:rPr>
          <w:sz w:val="24"/>
          <w:szCs w:val="24"/>
        </w:rPr>
        <w:t xml:space="preserve"> </w:t>
      </w:r>
      <w:r>
        <w:rPr>
          <w:sz w:val="24"/>
          <w:szCs w:val="24"/>
        </w:rPr>
        <w:t>kWhs</w:t>
      </w:r>
      <w:r w:rsidR="002514B0">
        <w:rPr>
          <w:sz w:val="24"/>
          <w:szCs w:val="24"/>
        </w:rPr>
        <w:t xml:space="preserve"> </w:t>
      </w:r>
      <w:r w:rsidRPr="008F7CED">
        <w:rPr>
          <w:b/>
          <w:i/>
          <w:sz w:val="24"/>
          <w:szCs w:val="24"/>
        </w:rPr>
        <w:t>sold</w:t>
      </w:r>
      <w:r w:rsidR="002514B0">
        <w:rPr>
          <w:sz w:val="24"/>
          <w:szCs w:val="24"/>
        </w:rPr>
        <w:t xml:space="preserve"> </w:t>
      </w:r>
      <w:r>
        <w:rPr>
          <w:sz w:val="24"/>
          <w:szCs w:val="24"/>
        </w:rPr>
        <w:t>at</w:t>
      </w:r>
      <w:r w:rsidR="002514B0">
        <w:rPr>
          <w:sz w:val="24"/>
          <w:szCs w:val="24"/>
        </w:rPr>
        <w:t xml:space="preserve"> </w:t>
      </w:r>
      <w:r w:rsidRPr="00692062">
        <w:rPr>
          <w:b/>
          <w:sz w:val="24"/>
          <w:szCs w:val="24"/>
        </w:rPr>
        <w:t>w</w:t>
      </w:r>
      <w:r w:rsidRPr="00692062">
        <w:rPr>
          <w:sz w:val="24"/>
          <w:szCs w:val="24"/>
          <w:vertAlign w:val="subscript"/>
        </w:rPr>
        <w:t>i</w:t>
      </w:r>
      <w:r>
        <w:rPr>
          <w:sz w:val="24"/>
          <w:szCs w:val="24"/>
        </w:rPr>
        <w:t>.</w:t>
      </w:r>
    </w:p>
    <w:p w14:paraId="58BE8BB4" w14:textId="73810264" w:rsidR="002D6F19" w:rsidRDefault="002D6F19" w:rsidP="002D6F19">
      <w:pPr>
        <w:spacing w:after="120" w:line="400" w:lineRule="exact"/>
      </w:pPr>
      <w:r>
        <w:rPr>
          <w:rFonts w:cs="Calibri"/>
          <w:sz w:val="24"/>
          <w:szCs w:val="24"/>
        </w:rPr>
        <w:t>Intrinsic</w:t>
      </w:r>
      <w:r w:rsidR="002514B0">
        <w:rPr>
          <w:rFonts w:cs="Calibri"/>
          <w:sz w:val="24"/>
          <w:szCs w:val="24"/>
        </w:rPr>
        <w:t xml:space="preserve"> </w:t>
      </w:r>
      <w:r>
        <w:rPr>
          <w:rFonts w:cs="Calibri"/>
          <w:sz w:val="24"/>
          <w:szCs w:val="24"/>
        </w:rPr>
        <w:t>to</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definition</w:t>
      </w:r>
      <w:r w:rsidR="002514B0">
        <w:rPr>
          <w:rFonts w:cs="Calibri"/>
          <w:sz w:val="24"/>
          <w:szCs w:val="24"/>
        </w:rPr>
        <w:t xml:space="preserve"> </w:t>
      </w:r>
      <w:r>
        <w:rPr>
          <w:rFonts w:cs="Calibri"/>
          <w:sz w:val="24"/>
          <w:szCs w:val="24"/>
        </w:rPr>
        <w:t>of</w:t>
      </w:r>
      <w:r w:rsidR="002514B0">
        <w:rPr>
          <w:rFonts w:cs="Calibri"/>
          <w:sz w:val="24"/>
          <w:szCs w:val="24"/>
        </w:rPr>
        <w:t xml:space="preserve"> </w:t>
      </w:r>
      <w:r>
        <w:rPr>
          <w:rFonts w:cs="Calibri"/>
          <w:sz w:val="24"/>
          <w:szCs w:val="24"/>
        </w:rPr>
        <w:t>CLEP5</w:t>
      </w:r>
      <w:r w:rsidR="002514B0">
        <w:rPr>
          <w:rFonts w:cs="Calibri"/>
          <w:sz w:val="24"/>
          <w:szCs w:val="24"/>
        </w:rPr>
        <w:t xml:space="preserve"> </w:t>
      </w:r>
      <w:r>
        <w:rPr>
          <w:rFonts w:cs="Calibri"/>
          <w:sz w:val="24"/>
          <w:szCs w:val="24"/>
        </w:rPr>
        <w:t>is</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key</w:t>
      </w:r>
      <w:r w:rsidR="002514B0">
        <w:rPr>
          <w:rFonts w:cs="Calibri"/>
          <w:sz w:val="24"/>
          <w:szCs w:val="24"/>
        </w:rPr>
        <w:t xml:space="preserve"> </w:t>
      </w:r>
      <w:r>
        <w:rPr>
          <w:rFonts w:cs="Calibri"/>
          <w:sz w:val="24"/>
          <w:szCs w:val="24"/>
        </w:rPr>
        <w:t>adjective</w:t>
      </w:r>
      <w:r w:rsidR="002514B0">
        <w:rPr>
          <w:rFonts w:cs="Calibri"/>
          <w:sz w:val="24"/>
          <w:szCs w:val="24"/>
        </w:rPr>
        <w:t xml:space="preserve"> </w:t>
      </w:r>
      <w:r>
        <w:rPr>
          <w:rFonts w:cs="Calibri"/>
          <w:sz w:val="24"/>
          <w:szCs w:val="24"/>
        </w:rPr>
        <w:t>“</w:t>
      </w:r>
      <w:r w:rsidRPr="00B07BAF">
        <w:rPr>
          <w:b/>
          <w:i/>
          <w:sz w:val="24"/>
        </w:rPr>
        <w:t>weighted</w:t>
      </w:r>
      <w:r>
        <w:rPr>
          <w:rFonts w:cs="Calibri"/>
          <w:sz w:val="24"/>
          <w:szCs w:val="24"/>
        </w:rPr>
        <w:t>”</w:t>
      </w:r>
      <w:r w:rsidR="002514B0">
        <w:rPr>
          <w:rFonts w:cs="Calibri"/>
          <w:sz w:val="24"/>
          <w:szCs w:val="24"/>
        </w:rPr>
        <w:t xml:space="preserve"> </w:t>
      </w:r>
      <w:r>
        <w:rPr>
          <w:rFonts w:cs="Calibri"/>
          <w:sz w:val="24"/>
          <w:szCs w:val="24"/>
        </w:rPr>
        <w:t>in</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definition</w:t>
      </w:r>
      <w:r w:rsidR="002514B0">
        <w:rPr>
          <w:rFonts w:cs="Calibri"/>
          <w:sz w:val="24"/>
          <w:szCs w:val="24"/>
        </w:rPr>
        <w:t xml:space="preserve"> </w:t>
      </w:r>
      <w:r>
        <w:rPr>
          <w:rFonts w:cs="Calibri"/>
          <w:sz w:val="24"/>
          <w:szCs w:val="24"/>
        </w:rPr>
        <w:t>of</w:t>
      </w:r>
      <w:r w:rsidR="002514B0">
        <w:rPr>
          <w:rFonts w:cs="Calibri"/>
          <w:sz w:val="24"/>
          <w:szCs w:val="24"/>
        </w:rPr>
        <w:t xml:space="preserve"> </w:t>
      </w:r>
      <w:r w:rsidRPr="00B07BAF">
        <w:rPr>
          <w:b/>
          <w:sz w:val="24"/>
        </w:rPr>
        <w:t>e</w:t>
      </w:r>
      <w:r w:rsidR="002514B0">
        <w:rPr>
          <w:rFonts w:cs="Calibri"/>
          <w:sz w:val="24"/>
          <w:szCs w:val="24"/>
        </w:rPr>
        <w:t xml:space="preserve"> </w:t>
      </w:r>
      <w:r>
        <w:rPr>
          <w:rFonts w:cs="Calibri"/>
          <w:sz w:val="24"/>
          <w:szCs w:val="24"/>
        </w:rPr>
        <w:t>that</w:t>
      </w:r>
      <w:r w:rsidR="002514B0">
        <w:rPr>
          <w:rFonts w:cs="Calibri"/>
          <w:sz w:val="24"/>
          <w:szCs w:val="24"/>
        </w:rPr>
        <w:t xml:space="preserve"> </w:t>
      </w:r>
      <w:r>
        <w:rPr>
          <w:rFonts w:cs="Calibri"/>
          <w:sz w:val="24"/>
          <w:szCs w:val="24"/>
        </w:rPr>
        <w:t>was</w:t>
      </w:r>
      <w:r w:rsidR="002514B0">
        <w:rPr>
          <w:rFonts w:cs="Calibri"/>
          <w:sz w:val="24"/>
          <w:szCs w:val="24"/>
        </w:rPr>
        <w:t xml:space="preserve"> </w:t>
      </w:r>
      <w:r>
        <w:rPr>
          <w:rFonts w:cs="Calibri"/>
          <w:sz w:val="24"/>
          <w:szCs w:val="24"/>
        </w:rPr>
        <w:t>accidently</w:t>
      </w:r>
      <w:r w:rsidR="002514B0">
        <w:rPr>
          <w:rFonts w:cs="Calibri"/>
          <w:sz w:val="24"/>
          <w:szCs w:val="24"/>
        </w:rPr>
        <w:t xml:space="preserve"> </w:t>
      </w:r>
      <w:r>
        <w:rPr>
          <w:rFonts w:cs="Calibri"/>
          <w:sz w:val="24"/>
          <w:szCs w:val="24"/>
        </w:rPr>
        <w:t>omitted</w:t>
      </w:r>
      <w:r w:rsidR="002514B0">
        <w:rPr>
          <w:rFonts w:cs="Calibri"/>
          <w:sz w:val="24"/>
          <w:szCs w:val="24"/>
        </w:rPr>
        <w:t xml:space="preserve"> </w:t>
      </w:r>
      <w:r>
        <w:rPr>
          <w:rFonts w:cs="Calibri"/>
          <w:sz w:val="24"/>
          <w:szCs w:val="24"/>
        </w:rPr>
        <w:t>from</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Direct</w:t>
      </w:r>
      <w:r w:rsidR="002514B0">
        <w:rPr>
          <w:rFonts w:cs="Calibri"/>
          <w:sz w:val="24"/>
          <w:szCs w:val="24"/>
        </w:rPr>
        <w:t xml:space="preserve"> </w:t>
      </w:r>
      <w:r>
        <w:rPr>
          <w:rFonts w:cs="Calibri"/>
          <w:sz w:val="24"/>
          <w:szCs w:val="24"/>
        </w:rPr>
        <w:t>Testimony.</w:t>
      </w:r>
      <w:r w:rsidR="002514B0">
        <w:rPr>
          <w:rFonts w:cs="Calibri"/>
          <w:sz w:val="24"/>
          <w:szCs w:val="24"/>
        </w:rPr>
        <w:t xml:space="preserve"> </w:t>
      </w:r>
      <w:r>
        <w:rPr>
          <w:rFonts w:cs="Calibri"/>
          <w:sz w:val="24"/>
          <w:szCs w:val="24"/>
        </w:rPr>
        <w:t>I.e.,</w:t>
      </w:r>
      <w:r w:rsidR="002514B0">
        <w:rPr>
          <w:rFonts w:cs="Calibri"/>
          <w:sz w:val="24"/>
          <w:szCs w:val="24"/>
        </w:rPr>
        <w:t xml:space="preserve"> </w:t>
      </w:r>
      <w:r>
        <w:rPr>
          <w:rFonts w:cs="Calibri"/>
          <w:sz w:val="24"/>
          <w:szCs w:val="24"/>
        </w:rPr>
        <w:t>BSI</w:t>
      </w:r>
      <w:r w:rsidR="002514B0">
        <w:rPr>
          <w:rFonts w:cs="Calibri"/>
          <w:sz w:val="24"/>
          <w:szCs w:val="24"/>
        </w:rPr>
        <w:t xml:space="preserve"> </w:t>
      </w:r>
      <w:r>
        <w:rPr>
          <w:rFonts w:cs="Calibri"/>
          <w:sz w:val="24"/>
          <w:szCs w:val="24"/>
        </w:rPr>
        <w:t>asserts</w:t>
      </w:r>
      <w:r w:rsidR="002514B0">
        <w:rPr>
          <w:rFonts w:cs="Calibri"/>
          <w:sz w:val="24"/>
          <w:szCs w:val="24"/>
        </w:rPr>
        <w:t xml:space="preserve"> </w:t>
      </w:r>
      <w:r>
        <w:rPr>
          <w:rFonts w:cs="Calibri"/>
          <w:sz w:val="24"/>
          <w:szCs w:val="24"/>
        </w:rPr>
        <w:t>that</w:t>
      </w:r>
      <w:r w:rsidR="002514B0">
        <w:rPr>
          <w:rFonts w:cs="Calibri"/>
          <w:sz w:val="24"/>
          <w:szCs w:val="24"/>
        </w:rPr>
        <w:t xml:space="preserve"> </w:t>
      </w:r>
      <w:r>
        <w:rPr>
          <w:rFonts w:cs="Calibri"/>
          <w:sz w:val="24"/>
          <w:szCs w:val="24"/>
        </w:rPr>
        <w:t>ENO’s</w:t>
      </w:r>
      <w:r w:rsidR="002514B0">
        <w:rPr>
          <w:rFonts w:cs="Calibri"/>
          <w:sz w:val="24"/>
          <w:szCs w:val="24"/>
        </w:rPr>
        <w:t xml:space="preserve"> </w:t>
      </w:r>
      <w:r>
        <w:rPr>
          <w:rFonts w:cs="Calibri"/>
          <w:sz w:val="24"/>
          <w:szCs w:val="24"/>
        </w:rPr>
        <w:t>membership</w:t>
      </w:r>
      <w:r w:rsidR="002514B0">
        <w:rPr>
          <w:rFonts w:cs="Calibri"/>
          <w:sz w:val="24"/>
          <w:szCs w:val="24"/>
        </w:rPr>
        <w:t xml:space="preserve"> </w:t>
      </w:r>
      <w:r>
        <w:rPr>
          <w:rFonts w:cs="Calibri"/>
          <w:sz w:val="24"/>
          <w:szCs w:val="24"/>
        </w:rPr>
        <w:t>in</w:t>
      </w:r>
      <w:r w:rsidR="002514B0">
        <w:rPr>
          <w:rFonts w:cs="Calibri"/>
          <w:sz w:val="24"/>
          <w:szCs w:val="24"/>
        </w:rPr>
        <w:t xml:space="preserve"> </w:t>
      </w:r>
      <w:r>
        <w:rPr>
          <w:rFonts w:cs="Calibri"/>
          <w:sz w:val="24"/>
          <w:szCs w:val="24"/>
        </w:rPr>
        <w:t>MISO</w:t>
      </w:r>
      <w:r w:rsidR="002514B0">
        <w:rPr>
          <w:rFonts w:cs="Calibri"/>
          <w:sz w:val="24"/>
          <w:szCs w:val="24"/>
        </w:rPr>
        <w:t xml:space="preserve"> </w:t>
      </w:r>
      <w:r>
        <w:rPr>
          <w:rFonts w:cs="Calibri"/>
          <w:sz w:val="24"/>
          <w:szCs w:val="24"/>
        </w:rPr>
        <w:t>effectively</w:t>
      </w:r>
      <w:r w:rsidR="002514B0">
        <w:rPr>
          <w:rFonts w:cs="Calibri"/>
          <w:sz w:val="24"/>
          <w:szCs w:val="24"/>
        </w:rPr>
        <w:t xml:space="preserve"> </w:t>
      </w:r>
      <w:r>
        <w:rPr>
          <w:rFonts w:cs="Calibri"/>
          <w:sz w:val="24"/>
          <w:szCs w:val="24"/>
        </w:rPr>
        <w:t>forces</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above</w:t>
      </w:r>
      <w:r w:rsidR="002514B0">
        <w:rPr>
          <w:rFonts w:cs="Calibri"/>
          <w:sz w:val="24"/>
          <w:szCs w:val="24"/>
        </w:rPr>
        <w:t xml:space="preserve"> </w:t>
      </w:r>
      <w:r>
        <w:rPr>
          <w:rFonts w:cs="Calibri"/>
          <w:sz w:val="24"/>
          <w:szCs w:val="24"/>
        </w:rPr>
        <w:t>definition</w:t>
      </w:r>
      <w:r w:rsidR="002514B0">
        <w:rPr>
          <w:rFonts w:cs="Calibri"/>
          <w:sz w:val="24"/>
          <w:szCs w:val="24"/>
        </w:rPr>
        <w:t xml:space="preserve"> </w:t>
      </w:r>
      <w:r>
        <w:rPr>
          <w:rFonts w:cs="Calibri"/>
          <w:sz w:val="24"/>
          <w:szCs w:val="24"/>
        </w:rPr>
        <w:t>of</w:t>
      </w:r>
      <w:r w:rsidR="002514B0">
        <w:rPr>
          <w:rFonts w:cs="Calibri"/>
          <w:sz w:val="24"/>
          <w:szCs w:val="24"/>
        </w:rPr>
        <w:t xml:space="preserve"> </w:t>
      </w:r>
      <w:r w:rsidRPr="00B07BAF">
        <w:rPr>
          <w:b/>
          <w:sz w:val="24"/>
        </w:rPr>
        <w:t>e</w:t>
      </w:r>
      <w:r w:rsidR="002514B0">
        <w:rPr>
          <w:rFonts w:cs="Calibri"/>
          <w:sz w:val="24"/>
          <w:szCs w:val="24"/>
        </w:rPr>
        <w:t xml:space="preserve"> </w:t>
      </w:r>
      <w:r>
        <w:rPr>
          <w:rFonts w:cs="Calibri"/>
          <w:sz w:val="24"/>
          <w:szCs w:val="24"/>
        </w:rPr>
        <w:t>to</w:t>
      </w:r>
      <w:r w:rsidR="002514B0">
        <w:rPr>
          <w:rFonts w:cs="Calibri"/>
          <w:sz w:val="24"/>
          <w:szCs w:val="24"/>
        </w:rPr>
        <w:t xml:space="preserve"> </w:t>
      </w:r>
      <w:r>
        <w:rPr>
          <w:rFonts w:cs="Calibri"/>
          <w:sz w:val="24"/>
          <w:szCs w:val="24"/>
        </w:rPr>
        <w:t>equal</w:t>
      </w:r>
      <w:r w:rsidR="002514B0">
        <w:rPr>
          <w:rFonts w:cs="Calibri"/>
          <w:sz w:val="24"/>
          <w:szCs w:val="24"/>
        </w:rPr>
        <w:t xml:space="preserve"> </w:t>
      </w:r>
      <w:r>
        <w:rPr>
          <w:rFonts w:cs="Calibri"/>
          <w:sz w:val="24"/>
          <w:szCs w:val="24"/>
        </w:rPr>
        <w:t>ENO’s</w:t>
      </w:r>
      <w:r w:rsidR="002514B0">
        <w:rPr>
          <w:rFonts w:cs="Calibri"/>
          <w:sz w:val="24"/>
          <w:szCs w:val="24"/>
        </w:rPr>
        <w:t xml:space="preserve"> </w:t>
      </w:r>
      <w:r>
        <w:rPr>
          <w:rFonts w:cs="Calibri"/>
          <w:sz w:val="24"/>
          <w:szCs w:val="24"/>
        </w:rPr>
        <w:t>“cost-of-energy”</w:t>
      </w:r>
      <w:r w:rsidR="002514B0">
        <w:rPr>
          <w:rFonts w:cs="Calibri"/>
          <w:sz w:val="24"/>
          <w:szCs w:val="24"/>
        </w:rPr>
        <w:t xml:space="preserve"> </w:t>
      </w:r>
      <w:r>
        <w:rPr>
          <w:rFonts w:cs="Calibri"/>
          <w:sz w:val="24"/>
          <w:szCs w:val="24"/>
        </w:rPr>
        <w:t>and</w:t>
      </w:r>
      <w:r w:rsidR="002514B0">
        <w:rPr>
          <w:rFonts w:cs="Calibri"/>
          <w:sz w:val="24"/>
          <w:szCs w:val="24"/>
        </w:rPr>
        <w:t xml:space="preserve"> </w:t>
      </w:r>
      <w:r>
        <w:rPr>
          <w:rFonts w:cs="Calibri"/>
          <w:sz w:val="24"/>
          <w:szCs w:val="24"/>
        </w:rPr>
        <w:t>only</w:t>
      </w:r>
      <w:r w:rsidR="002514B0">
        <w:rPr>
          <w:rFonts w:cs="Calibri"/>
          <w:sz w:val="24"/>
          <w:szCs w:val="24"/>
        </w:rPr>
        <w:t xml:space="preserve"> </w:t>
      </w:r>
      <w:r>
        <w:rPr>
          <w:rFonts w:cs="Calibri"/>
          <w:sz w:val="24"/>
          <w:szCs w:val="24"/>
        </w:rPr>
        <w:t>differs</w:t>
      </w:r>
      <w:r w:rsidR="002514B0">
        <w:rPr>
          <w:rFonts w:cs="Calibri"/>
          <w:sz w:val="24"/>
          <w:szCs w:val="24"/>
        </w:rPr>
        <w:t xml:space="preserve"> </w:t>
      </w:r>
      <w:r>
        <w:rPr>
          <w:rFonts w:cs="Calibri"/>
          <w:sz w:val="24"/>
          <w:szCs w:val="24"/>
        </w:rPr>
        <w:t>from</w:t>
      </w:r>
      <w:r w:rsidR="002514B0">
        <w:rPr>
          <w:rFonts w:cs="Calibri"/>
          <w:sz w:val="24"/>
          <w:szCs w:val="24"/>
        </w:rPr>
        <w:t xml:space="preserve"> </w:t>
      </w:r>
      <w:r>
        <w:rPr>
          <w:rFonts w:cs="Calibri"/>
          <w:sz w:val="24"/>
          <w:szCs w:val="24"/>
        </w:rPr>
        <w:t>“the</w:t>
      </w:r>
      <w:r w:rsidR="002514B0">
        <w:rPr>
          <w:rFonts w:cs="Calibri"/>
          <w:sz w:val="24"/>
          <w:szCs w:val="24"/>
        </w:rPr>
        <w:t xml:space="preserve"> </w:t>
      </w:r>
      <w:r>
        <w:rPr>
          <w:rFonts w:cs="Calibri"/>
          <w:sz w:val="24"/>
          <w:szCs w:val="24"/>
        </w:rPr>
        <w:t>average</w:t>
      </w:r>
      <w:r w:rsidR="002514B0">
        <w:rPr>
          <w:rFonts w:cs="Calibri"/>
          <w:sz w:val="24"/>
          <w:szCs w:val="24"/>
        </w:rPr>
        <w:t xml:space="preserve"> </w:t>
      </w:r>
      <w:r>
        <w:rPr>
          <w:rFonts w:cs="Calibri"/>
          <w:sz w:val="24"/>
          <w:szCs w:val="24"/>
        </w:rPr>
        <w:t>cost</w:t>
      </w:r>
      <w:r w:rsidR="002514B0">
        <w:rPr>
          <w:rFonts w:cs="Calibri"/>
          <w:sz w:val="24"/>
          <w:szCs w:val="24"/>
        </w:rPr>
        <w:t xml:space="preserve"> </w:t>
      </w:r>
      <w:r>
        <w:rPr>
          <w:rFonts w:cs="Calibri"/>
          <w:sz w:val="24"/>
          <w:szCs w:val="24"/>
        </w:rPr>
        <w:t>of</w:t>
      </w:r>
      <w:r w:rsidR="002514B0">
        <w:rPr>
          <w:rFonts w:cs="Calibri"/>
          <w:sz w:val="24"/>
          <w:szCs w:val="24"/>
        </w:rPr>
        <w:t xml:space="preserve"> </w:t>
      </w:r>
      <w:r>
        <w:rPr>
          <w:rFonts w:cs="Calibri"/>
          <w:sz w:val="24"/>
          <w:szCs w:val="24"/>
        </w:rPr>
        <w:t>electricity</w:t>
      </w:r>
      <w:r w:rsidR="002514B0">
        <w:rPr>
          <w:rFonts w:cs="Calibri"/>
          <w:sz w:val="24"/>
          <w:szCs w:val="24"/>
        </w:rPr>
        <w:t xml:space="preserve"> </w:t>
      </w:r>
      <w:r>
        <w:rPr>
          <w:rFonts w:cs="Calibri"/>
          <w:sz w:val="24"/>
          <w:szCs w:val="24"/>
        </w:rPr>
        <w:t>ENO</w:t>
      </w:r>
      <w:r w:rsidR="002514B0">
        <w:rPr>
          <w:rFonts w:cs="Calibri"/>
          <w:sz w:val="24"/>
          <w:szCs w:val="24"/>
        </w:rPr>
        <w:t xml:space="preserve"> </w:t>
      </w:r>
      <w:r>
        <w:rPr>
          <w:rFonts w:cs="Calibri"/>
          <w:sz w:val="24"/>
          <w:szCs w:val="24"/>
        </w:rPr>
        <w:t>incurs.”</w:t>
      </w:r>
      <w:r w:rsidR="002514B0">
        <w:rPr>
          <w:rFonts w:cs="Calibri"/>
          <w:sz w:val="24"/>
          <w:szCs w:val="24"/>
        </w:rPr>
        <w:t xml:space="preserve"> </w:t>
      </w:r>
      <w:r>
        <w:rPr>
          <w:rFonts w:cs="Calibri"/>
          <w:sz w:val="24"/>
          <w:szCs w:val="24"/>
        </w:rPr>
        <w:t>by</w:t>
      </w:r>
      <w:r w:rsidR="002514B0">
        <w:rPr>
          <w:rFonts w:cs="Calibri"/>
          <w:sz w:val="24"/>
          <w:szCs w:val="24"/>
        </w:rPr>
        <w:t xml:space="preserve"> </w:t>
      </w:r>
      <w:r>
        <w:rPr>
          <w:rFonts w:cs="Calibri"/>
          <w:sz w:val="24"/>
          <w:szCs w:val="24"/>
        </w:rPr>
        <w:t>a</w:t>
      </w:r>
      <w:r w:rsidR="002514B0">
        <w:rPr>
          <w:rFonts w:cs="Calibri"/>
          <w:sz w:val="24"/>
          <w:szCs w:val="24"/>
        </w:rPr>
        <w:t xml:space="preserve"> </w:t>
      </w:r>
      <w:r>
        <w:rPr>
          <w:rFonts w:cs="Calibri"/>
          <w:sz w:val="24"/>
          <w:szCs w:val="24"/>
        </w:rPr>
        <w:t>very</w:t>
      </w:r>
      <w:r w:rsidR="002514B0">
        <w:rPr>
          <w:rFonts w:cs="Calibri"/>
          <w:sz w:val="24"/>
          <w:szCs w:val="24"/>
        </w:rPr>
        <w:t xml:space="preserve"> </w:t>
      </w:r>
      <w:r>
        <w:rPr>
          <w:rFonts w:cs="Calibri"/>
          <w:sz w:val="24"/>
          <w:szCs w:val="24"/>
        </w:rPr>
        <w:t>small</w:t>
      </w:r>
      <w:r w:rsidR="002514B0">
        <w:rPr>
          <w:rFonts w:cs="Calibri"/>
          <w:sz w:val="24"/>
          <w:szCs w:val="24"/>
        </w:rPr>
        <w:t xml:space="preserve"> </w:t>
      </w:r>
      <w:r>
        <w:rPr>
          <w:rFonts w:cs="Calibri"/>
          <w:sz w:val="24"/>
          <w:szCs w:val="24"/>
        </w:rPr>
        <w:t>or</w:t>
      </w:r>
      <w:r w:rsidR="002514B0">
        <w:rPr>
          <w:rFonts w:cs="Calibri"/>
          <w:sz w:val="24"/>
          <w:szCs w:val="24"/>
        </w:rPr>
        <w:t xml:space="preserve"> </w:t>
      </w:r>
      <w:r>
        <w:rPr>
          <w:rFonts w:cs="Calibri"/>
          <w:sz w:val="24"/>
          <w:szCs w:val="24"/>
        </w:rPr>
        <w:t>almost</w:t>
      </w:r>
      <w:r w:rsidR="002514B0">
        <w:rPr>
          <w:rFonts w:cs="Calibri"/>
          <w:sz w:val="24"/>
          <w:szCs w:val="24"/>
        </w:rPr>
        <w:t xml:space="preserve"> </w:t>
      </w:r>
      <w:r>
        <w:rPr>
          <w:rFonts w:cs="Calibri"/>
          <w:sz w:val="24"/>
          <w:szCs w:val="24"/>
        </w:rPr>
        <w:t>constant</w:t>
      </w:r>
      <w:r w:rsidR="002514B0">
        <w:rPr>
          <w:rFonts w:cs="Calibri"/>
          <w:sz w:val="24"/>
          <w:szCs w:val="24"/>
        </w:rPr>
        <w:t xml:space="preserve"> </w:t>
      </w:r>
      <w:r>
        <w:rPr>
          <w:rFonts w:cs="Calibri"/>
          <w:sz w:val="24"/>
          <w:szCs w:val="24"/>
        </w:rPr>
        <w:t>D.</w:t>
      </w:r>
    </w:p>
    <w:p w14:paraId="21025D04" w14:textId="77777777" w:rsidR="002D6F19" w:rsidRDefault="002D6F19" w:rsidP="002D6F19">
      <w:pPr>
        <w:widowControl/>
      </w:pPr>
    </w:p>
    <w:p w14:paraId="4B9A890C" w14:textId="56BA2F8E" w:rsidR="004D324B" w:rsidRDefault="004D324B" w:rsidP="00A1743F">
      <w:pPr>
        <w:widowControl/>
        <w:rPr>
          <w:b/>
          <w:bCs/>
          <w:sz w:val="25"/>
          <w:szCs w:val="25"/>
        </w:rPr>
      </w:pPr>
      <w:r>
        <w:rPr>
          <w:b/>
          <w:bCs/>
          <w:sz w:val="25"/>
          <w:szCs w:val="25"/>
        </w:rPr>
        <w:br w:type="page"/>
      </w:r>
    </w:p>
    <w:p w14:paraId="5688F3D2" w14:textId="2BB363F9" w:rsidR="004D324B" w:rsidRPr="003C7F6D" w:rsidRDefault="004D324B" w:rsidP="004D324B">
      <w:pPr>
        <w:pStyle w:val="Heading1"/>
      </w:pPr>
      <w:bookmarkStart w:id="124" w:name="_Toc16165413"/>
      <w:bookmarkStart w:id="125" w:name="_Toc16317749"/>
      <w:bookmarkStart w:id="126" w:name="_Toc16254913"/>
      <w:bookmarkStart w:id="127" w:name="_Toc16090430"/>
      <w:r>
        <w:lastRenderedPageBreak/>
        <w:t>Appendix</w:t>
      </w:r>
      <w:r w:rsidR="002514B0">
        <w:t xml:space="preserve"> </w:t>
      </w:r>
      <w:r>
        <w:t>4:</w:t>
      </w:r>
      <w:r w:rsidR="002514B0">
        <w:t xml:space="preserve"> </w:t>
      </w:r>
      <w:r w:rsidRPr="003C7F6D">
        <w:t>Paradoxes</w:t>
      </w:r>
      <w:r w:rsidR="002514B0">
        <w:t xml:space="preserve"> </w:t>
      </w:r>
      <w:r w:rsidRPr="003C7F6D">
        <w:t>of</w:t>
      </w:r>
      <w:r w:rsidR="002514B0">
        <w:t xml:space="preserve"> </w:t>
      </w:r>
      <w:r w:rsidRPr="003C7F6D">
        <w:t>the</w:t>
      </w:r>
      <w:r w:rsidR="002514B0">
        <w:t xml:space="preserve"> </w:t>
      </w:r>
      <w:r w:rsidRPr="003C7F6D">
        <w:t>current</w:t>
      </w:r>
      <w:r w:rsidR="002514B0">
        <w:t xml:space="preserve"> </w:t>
      </w:r>
      <w:r w:rsidRPr="003C7F6D">
        <w:t>Rate</w:t>
      </w:r>
      <w:r w:rsidR="002514B0">
        <w:t xml:space="preserve"> </w:t>
      </w:r>
      <w:r w:rsidRPr="003C7F6D">
        <w:t>Case</w:t>
      </w:r>
      <w:r w:rsidR="002514B0">
        <w:t xml:space="preserve"> </w:t>
      </w:r>
      <w:r w:rsidRPr="003C7F6D">
        <w:t>model</w:t>
      </w:r>
      <w:r w:rsidR="002514B0">
        <w:t xml:space="preserve"> </w:t>
      </w:r>
      <w:r w:rsidRPr="003C7F6D">
        <w:t>that</w:t>
      </w:r>
      <w:r w:rsidR="002514B0">
        <w:t xml:space="preserve"> </w:t>
      </w:r>
      <w:r w:rsidRPr="003C7F6D">
        <w:t>probably</w:t>
      </w:r>
      <w:r w:rsidR="002514B0">
        <w:t xml:space="preserve"> </w:t>
      </w:r>
      <w:r w:rsidRPr="003C7F6D">
        <w:t>apply</w:t>
      </w:r>
      <w:r w:rsidR="002514B0">
        <w:t xml:space="preserve"> </w:t>
      </w:r>
      <w:r w:rsidRPr="003C7F6D">
        <w:t>to</w:t>
      </w:r>
      <w:r w:rsidR="002514B0">
        <w:t xml:space="preserve"> </w:t>
      </w:r>
      <w:r w:rsidRPr="003C7F6D">
        <w:t>virtually</w:t>
      </w:r>
      <w:r w:rsidR="002514B0">
        <w:t xml:space="preserve"> </w:t>
      </w:r>
      <w:r w:rsidRPr="003C7F6D">
        <w:t>all</w:t>
      </w:r>
      <w:r w:rsidR="002514B0">
        <w:t xml:space="preserve"> </w:t>
      </w:r>
      <w:r w:rsidRPr="003C7F6D">
        <w:t>utilities.</w:t>
      </w:r>
      <w:bookmarkEnd w:id="124"/>
      <w:bookmarkEnd w:id="125"/>
      <w:bookmarkEnd w:id="126"/>
    </w:p>
    <w:p w14:paraId="5EFEA6D7" w14:textId="5877D6FC" w:rsidR="004D324B" w:rsidRPr="003C7F6D" w:rsidRDefault="004D324B" w:rsidP="004D324B">
      <w:pPr>
        <w:pStyle w:val="Heading2"/>
      </w:pPr>
      <w:bookmarkStart w:id="128" w:name="_Toc16090431"/>
      <w:bookmarkStart w:id="129" w:name="_Toc16165414"/>
      <w:bookmarkStart w:id="130" w:name="_Toc16317750"/>
      <w:bookmarkStart w:id="131" w:name="_Toc16254914"/>
      <w:bookmarkEnd w:id="127"/>
      <w:r w:rsidRPr="003C7F6D">
        <w:t>FAC</w:t>
      </w:r>
      <w:r w:rsidR="002514B0">
        <w:t xml:space="preserve"> </w:t>
      </w:r>
      <w:r w:rsidRPr="003C7F6D">
        <w:t>is</w:t>
      </w:r>
      <w:r w:rsidR="002514B0">
        <w:t xml:space="preserve"> </w:t>
      </w:r>
      <w:r w:rsidRPr="003C7F6D">
        <w:t>not</w:t>
      </w:r>
      <w:r w:rsidR="002514B0">
        <w:t xml:space="preserve"> </w:t>
      </w:r>
      <w:r w:rsidRPr="003C7F6D">
        <w:t>a</w:t>
      </w:r>
      <w:r w:rsidR="002514B0">
        <w:t xml:space="preserve"> </w:t>
      </w:r>
      <w:r w:rsidRPr="003C7F6D">
        <w:t>pure</w:t>
      </w:r>
      <w:r w:rsidR="002514B0">
        <w:t xml:space="preserve"> </w:t>
      </w:r>
      <w:r w:rsidRPr="003C7F6D">
        <w:t>“cost-of-energy”</w:t>
      </w:r>
      <w:bookmarkEnd w:id="128"/>
      <w:bookmarkEnd w:id="129"/>
      <w:bookmarkEnd w:id="130"/>
      <w:bookmarkEnd w:id="131"/>
      <w:r w:rsidR="002514B0">
        <w:t xml:space="preserve"> </w:t>
      </w:r>
    </w:p>
    <w:p w14:paraId="6A5360FE" w14:textId="5E591621" w:rsidR="004D324B" w:rsidRPr="003C7F6D" w:rsidRDefault="004D324B" w:rsidP="004D324B">
      <w:pPr>
        <w:pStyle w:val="BodyText"/>
      </w:pPr>
      <w:r w:rsidRPr="003C7F6D">
        <w:t>FAC,</w:t>
      </w:r>
      <w:r w:rsidR="002514B0">
        <w:t xml:space="preserve"> </w:t>
      </w:r>
      <w:r w:rsidRPr="003C7F6D">
        <w:t>the</w:t>
      </w:r>
      <w:r w:rsidR="002514B0">
        <w:t xml:space="preserve"> </w:t>
      </w:r>
      <w:r w:rsidRPr="003C7F6D">
        <w:t>Fuel</w:t>
      </w:r>
      <w:r w:rsidR="002514B0">
        <w:t xml:space="preserve"> </w:t>
      </w:r>
      <w:r w:rsidRPr="003C7F6D">
        <w:t>Adjustment</w:t>
      </w:r>
      <w:r w:rsidR="002514B0">
        <w:t xml:space="preserve"> </w:t>
      </w:r>
      <w:r w:rsidRPr="003C7F6D">
        <w:t>Clause,</w:t>
      </w:r>
      <w:r w:rsidR="002514B0">
        <w:t xml:space="preserve"> </w:t>
      </w:r>
      <w:r w:rsidRPr="003C7F6D">
        <w:t>is</w:t>
      </w:r>
      <w:r w:rsidR="002514B0">
        <w:t xml:space="preserve"> </w:t>
      </w:r>
      <w:r w:rsidRPr="003C7F6D">
        <w:t>a</w:t>
      </w:r>
      <w:r w:rsidR="002514B0">
        <w:t xml:space="preserve"> </w:t>
      </w:r>
      <w:r w:rsidRPr="003C7F6D">
        <w:t>rider</w:t>
      </w:r>
      <w:r w:rsidR="002514B0">
        <w:t xml:space="preserve"> </w:t>
      </w:r>
      <w:r w:rsidRPr="003C7F6D">
        <w:t>applied</w:t>
      </w:r>
      <w:r w:rsidR="002514B0">
        <w:t xml:space="preserve"> </w:t>
      </w:r>
      <w:r w:rsidRPr="003C7F6D">
        <w:t>to</w:t>
      </w:r>
      <w:r w:rsidR="002514B0">
        <w:t xml:space="preserve"> </w:t>
      </w:r>
      <w:r w:rsidRPr="003C7F6D">
        <w:t>every</w:t>
      </w:r>
      <w:r w:rsidR="002514B0">
        <w:t xml:space="preserve"> </w:t>
      </w:r>
      <w:r w:rsidRPr="003C7F6D">
        <w:t>ENO</w:t>
      </w:r>
      <w:r w:rsidR="002514B0">
        <w:t xml:space="preserve"> </w:t>
      </w:r>
      <w:r w:rsidRPr="003C7F6D">
        <w:t>customer</w:t>
      </w:r>
      <w:r w:rsidR="002514B0">
        <w:t xml:space="preserve"> </w:t>
      </w:r>
      <w:r w:rsidRPr="003C7F6D">
        <w:t>for</w:t>
      </w:r>
      <w:r w:rsidR="002514B0">
        <w:t xml:space="preserve"> </w:t>
      </w:r>
      <w:r w:rsidRPr="003C7F6D">
        <w:t>the</w:t>
      </w:r>
      <w:r w:rsidR="002514B0">
        <w:t xml:space="preserve"> </w:t>
      </w:r>
      <w:r w:rsidRPr="003C7F6D">
        <w:t>purpose</w:t>
      </w:r>
      <w:r w:rsidR="002514B0">
        <w:t xml:space="preserve"> </w:t>
      </w:r>
      <w:r w:rsidRPr="003C7F6D">
        <w:t>of</w:t>
      </w:r>
      <w:r w:rsidR="002514B0">
        <w:t xml:space="preserve"> </w:t>
      </w:r>
      <w:r w:rsidRPr="003C7F6D">
        <w:t>providing</w:t>
      </w:r>
      <w:r w:rsidR="002514B0">
        <w:t xml:space="preserve"> </w:t>
      </w:r>
      <w:r w:rsidRPr="003C7F6D">
        <w:t>“as</w:t>
      </w:r>
      <w:r w:rsidR="002514B0">
        <w:t xml:space="preserve"> </w:t>
      </w:r>
      <w:r w:rsidRPr="003C7F6D">
        <w:t>close</w:t>
      </w:r>
      <w:r w:rsidR="002514B0">
        <w:t xml:space="preserve"> </w:t>
      </w:r>
      <w:r w:rsidRPr="003C7F6D">
        <w:t>as</w:t>
      </w:r>
      <w:r w:rsidR="002514B0">
        <w:t xml:space="preserve"> </w:t>
      </w:r>
      <w:r w:rsidRPr="003C7F6D">
        <w:t>possible”</w:t>
      </w:r>
      <w:r w:rsidR="002514B0">
        <w:t xml:space="preserve"> </w:t>
      </w:r>
      <w:r w:rsidRPr="003C7F6D">
        <w:t>the</w:t>
      </w:r>
      <w:r w:rsidR="002514B0">
        <w:t xml:space="preserve"> </w:t>
      </w:r>
      <w:r w:rsidRPr="003C7F6D">
        <w:t>“cost-of-energy”</w:t>
      </w:r>
      <w:r w:rsidR="002514B0">
        <w:t xml:space="preserve"> </w:t>
      </w:r>
      <w:r w:rsidRPr="003C7F6D">
        <w:t>in</w:t>
      </w:r>
      <w:r w:rsidR="002514B0">
        <w:t xml:space="preserve"> </w:t>
      </w:r>
      <w:r w:rsidRPr="003C7F6D">
        <w:t>the</w:t>
      </w:r>
      <w:r w:rsidR="002514B0">
        <w:t xml:space="preserve"> </w:t>
      </w:r>
      <w:r w:rsidRPr="003C7F6D">
        <w:t>“standard”</w:t>
      </w:r>
      <w:r w:rsidR="002514B0">
        <w:t xml:space="preserve"> </w:t>
      </w:r>
      <w:r w:rsidRPr="003C7F6D">
        <w:t>definition</w:t>
      </w:r>
      <w:r w:rsidR="002514B0">
        <w:t xml:space="preserve"> </w:t>
      </w:r>
      <w:r w:rsidRPr="003C7F6D">
        <w:t>of</w:t>
      </w:r>
      <w:r w:rsidR="002514B0">
        <w:t xml:space="preserve"> </w:t>
      </w:r>
      <w:r w:rsidRPr="003C7F6D">
        <w:t>a</w:t>
      </w:r>
      <w:r w:rsidR="002514B0">
        <w:t xml:space="preserve"> </w:t>
      </w:r>
      <w:r w:rsidRPr="003C7F6D">
        <w:t>residential</w:t>
      </w:r>
      <w:r w:rsidR="002514B0">
        <w:t xml:space="preserve"> </w:t>
      </w:r>
      <w:r w:rsidRPr="003C7F6D">
        <w:t>electricity</w:t>
      </w:r>
      <w:r w:rsidR="002514B0">
        <w:t xml:space="preserve"> </w:t>
      </w:r>
      <w:r w:rsidRPr="003C7F6D">
        <w:t>bill</w:t>
      </w:r>
      <w:r w:rsidR="002514B0">
        <w:t xml:space="preserve"> </w:t>
      </w:r>
      <w:r w:rsidRPr="003C7F6D">
        <w:t>=</w:t>
      </w:r>
      <w:r w:rsidR="002514B0">
        <w:t xml:space="preserve"> </w:t>
      </w:r>
      <w:r w:rsidRPr="003C7F6D">
        <w:t>(#</w:t>
      </w:r>
      <w:r w:rsidR="002514B0">
        <w:t xml:space="preserve"> </w:t>
      </w:r>
      <w:r w:rsidRPr="003C7F6D">
        <w:t>kWh</w:t>
      </w:r>
      <w:r w:rsidR="002514B0">
        <w:t xml:space="preserve"> </w:t>
      </w:r>
      <w:r w:rsidRPr="003C7F6D">
        <w:t>consumed)</w:t>
      </w:r>
      <w:r w:rsidR="002514B0">
        <w:t xml:space="preserve"> </w:t>
      </w:r>
      <w:r w:rsidRPr="003C7F6D">
        <w:t>*</w:t>
      </w:r>
      <w:r w:rsidR="002514B0">
        <w:t xml:space="preserve"> </w:t>
      </w:r>
      <w:r w:rsidRPr="003C7F6D">
        <w:t>(cost-of-energy</w:t>
      </w:r>
      <w:r w:rsidR="002514B0">
        <w:t xml:space="preserve"> </w:t>
      </w:r>
      <w:r w:rsidRPr="003C7F6D">
        <w:t>+</w:t>
      </w:r>
      <w:r w:rsidR="002514B0">
        <w:t xml:space="preserve"> </w:t>
      </w:r>
      <w:r w:rsidRPr="003C7F6D">
        <w:t>cost-of-service).</w:t>
      </w:r>
      <w:r w:rsidR="002514B0">
        <w:t xml:space="preserve"> </w:t>
      </w:r>
      <w:r w:rsidRPr="003C7F6D">
        <w:t>However,</w:t>
      </w:r>
      <w:r w:rsidR="002514B0">
        <w:t xml:space="preserve"> </w:t>
      </w:r>
      <w:r w:rsidRPr="003C7F6D">
        <w:t>FAC</w:t>
      </w:r>
      <w:r w:rsidR="002514B0">
        <w:t xml:space="preserve"> </w:t>
      </w:r>
      <w:r w:rsidRPr="003C7F6D">
        <w:t>is</w:t>
      </w:r>
      <w:r w:rsidR="002514B0">
        <w:t xml:space="preserve"> </w:t>
      </w:r>
      <w:r w:rsidRPr="003C7F6D">
        <w:t>not</w:t>
      </w:r>
      <w:r w:rsidR="002514B0">
        <w:t xml:space="preserve"> </w:t>
      </w:r>
      <w:r w:rsidRPr="003C7F6D">
        <w:t>a</w:t>
      </w:r>
      <w:r w:rsidR="002514B0">
        <w:t xml:space="preserve"> </w:t>
      </w:r>
      <w:r w:rsidRPr="003C7F6D">
        <w:t>pure</w:t>
      </w:r>
      <w:r w:rsidR="002514B0">
        <w:t xml:space="preserve"> </w:t>
      </w:r>
      <w:r w:rsidRPr="003C7F6D">
        <w:t>“cost-of-energy,”</w:t>
      </w:r>
      <w:r w:rsidR="002514B0">
        <w:t xml:space="preserve"> </w:t>
      </w:r>
      <w:r w:rsidRPr="003C7F6D">
        <w:t>because</w:t>
      </w:r>
      <w:r w:rsidR="002514B0">
        <w:t xml:space="preserve"> </w:t>
      </w:r>
      <w:r w:rsidRPr="003C7F6D">
        <w:t>it</w:t>
      </w:r>
      <w:r w:rsidR="002514B0">
        <w:t xml:space="preserve"> </w:t>
      </w:r>
      <w:r w:rsidRPr="003C7F6D">
        <w:t>has</w:t>
      </w:r>
      <w:r w:rsidR="002514B0">
        <w:t xml:space="preserve"> </w:t>
      </w:r>
      <w:r w:rsidRPr="003C7F6D">
        <w:t>some</w:t>
      </w:r>
      <w:r w:rsidR="002514B0">
        <w:t xml:space="preserve"> </w:t>
      </w:r>
      <w:r w:rsidRPr="003C7F6D">
        <w:t>“capital</w:t>
      </w:r>
      <w:r w:rsidR="002514B0">
        <w:t xml:space="preserve"> </w:t>
      </w:r>
      <w:r w:rsidRPr="003C7F6D">
        <w:t>costs”</w:t>
      </w:r>
      <w:r w:rsidR="002514B0">
        <w:t xml:space="preserve"> </w:t>
      </w:r>
      <w:r w:rsidRPr="003C7F6D">
        <w:t>within</w:t>
      </w:r>
      <w:r w:rsidR="002514B0">
        <w:t xml:space="preserve"> </w:t>
      </w:r>
      <w:r w:rsidRPr="003C7F6D">
        <w:t>it,</w:t>
      </w:r>
      <w:r w:rsidR="002514B0">
        <w:t xml:space="preserve"> </w:t>
      </w:r>
      <w:r w:rsidRPr="003C7F6D">
        <w:t>including</w:t>
      </w:r>
      <w:r w:rsidR="002514B0">
        <w:t xml:space="preserve"> </w:t>
      </w:r>
      <w:r w:rsidRPr="003C7F6D">
        <w:t>that</w:t>
      </w:r>
      <w:r w:rsidR="002514B0">
        <w:t xml:space="preserve"> </w:t>
      </w:r>
      <w:r w:rsidRPr="003C7F6D">
        <w:t>for</w:t>
      </w:r>
      <w:r w:rsidR="002514B0">
        <w:t xml:space="preserve"> </w:t>
      </w:r>
      <w:r w:rsidRPr="003C7F6D">
        <w:t>Grand</w:t>
      </w:r>
      <w:r w:rsidR="002514B0">
        <w:t xml:space="preserve"> </w:t>
      </w:r>
      <w:r w:rsidRPr="003C7F6D">
        <w:t>Gulf</w:t>
      </w:r>
      <w:r w:rsidR="002514B0">
        <w:t xml:space="preserve"> </w:t>
      </w:r>
      <w:r w:rsidRPr="003C7F6D">
        <w:t>and</w:t>
      </w:r>
      <w:r w:rsidR="002514B0">
        <w:t xml:space="preserve"> </w:t>
      </w:r>
      <w:r w:rsidRPr="003C7F6D">
        <w:t>possibly</w:t>
      </w:r>
      <w:r w:rsidR="002514B0">
        <w:t xml:space="preserve"> </w:t>
      </w:r>
      <w:r w:rsidRPr="003C7F6D">
        <w:t>a</w:t>
      </w:r>
      <w:r w:rsidR="002514B0">
        <w:t xml:space="preserve"> </w:t>
      </w:r>
      <w:r w:rsidRPr="003C7F6D">
        <w:t>few</w:t>
      </w:r>
      <w:r w:rsidR="002514B0">
        <w:t xml:space="preserve"> </w:t>
      </w:r>
      <w:r w:rsidRPr="003C7F6D">
        <w:t>other</w:t>
      </w:r>
      <w:r w:rsidR="002514B0">
        <w:t xml:space="preserve"> </w:t>
      </w:r>
      <w:r>
        <w:t>similar</w:t>
      </w:r>
      <w:r w:rsidR="002514B0">
        <w:t xml:space="preserve"> </w:t>
      </w:r>
      <w:r>
        <w:t>hybrid</w:t>
      </w:r>
      <w:r w:rsidR="002514B0">
        <w:t xml:space="preserve"> </w:t>
      </w:r>
      <w:r>
        <w:t>energy</w:t>
      </w:r>
      <w:r w:rsidR="002514B0">
        <w:t xml:space="preserve"> </w:t>
      </w:r>
      <w:r>
        <w:t>and</w:t>
      </w:r>
      <w:r w:rsidR="002514B0">
        <w:t xml:space="preserve"> </w:t>
      </w:r>
      <w:r>
        <w:t>capacity</w:t>
      </w:r>
      <w:r w:rsidR="002514B0">
        <w:t xml:space="preserve"> </w:t>
      </w:r>
      <w:r w:rsidRPr="003C7F6D">
        <w:t>electricity</w:t>
      </w:r>
      <w:r w:rsidR="002514B0">
        <w:t xml:space="preserve"> </w:t>
      </w:r>
      <w:r w:rsidRPr="003C7F6D">
        <w:t>charges.</w:t>
      </w:r>
      <w:r w:rsidR="002514B0">
        <w:t xml:space="preserve"> </w:t>
      </w:r>
      <w:r w:rsidRPr="003C7F6D">
        <w:t>One</w:t>
      </w:r>
      <w:r w:rsidR="002514B0">
        <w:t xml:space="preserve"> </w:t>
      </w:r>
      <w:r w:rsidRPr="003C7F6D">
        <w:t>of</w:t>
      </w:r>
      <w:r w:rsidR="002514B0">
        <w:t xml:space="preserve"> </w:t>
      </w:r>
      <w:r w:rsidRPr="003C7F6D">
        <w:t>the</w:t>
      </w:r>
      <w:r w:rsidR="002514B0">
        <w:t xml:space="preserve"> </w:t>
      </w:r>
      <w:r w:rsidRPr="003C7F6D">
        <w:t>expressed</w:t>
      </w:r>
      <w:r w:rsidR="002514B0">
        <w:t xml:space="preserve"> </w:t>
      </w:r>
      <w:r w:rsidRPr="003C7F6D">
        <w:t>goals</w:t>
      </w:r>
      <w:r w:rsidR="002514B0">
        <w:t xml:space="preserve"> </w:t>
      </w:r>
      <w:r w:rsidRPr="003C7F6D">
        <w:t>of</w:t>
      </w:r>
      <w:r w:rsidR="002514B0">
        <w:t xml:space="preserve"> </w:t>
      </w:r>
      <w:r w:rsidRPr="003C7F6D">
        <w:t>this</w:t>
      </w:r>
      <w:r w:rsidR="002514B0">
        <w:t xml:space="preserve"> </w:t>
      </w:r>
      <w:r w:rsidRPr="003C7F6D">
        <w:t>rate</w:t>
      </w:r>
      <w:r w:rsidR="002514B0">
        <w:t xml:space="preserve"> </w:t>
      </w:r>
      <w:r w:rsidRPr="003C7F6D">
        <w:t>case</w:t>
      </w:r>
      <w:r w:rsidR="002514B0">
        <w:t xml:space="preserve"> </w:t>
      </w:r>
      <w:r w:rsidRPr="003C7F6D">
        <w:t>is</w:t>
      </w:r>
      <w:r w:rsidR="002514B0">
        <w:t xml:space="preserve"> </w:t>
      </w:r>
      <w:r w:rsidRPr="003C7F6D">
        <w:t>to</w:t>
      </w:r>
      <w:r w:rsidR="002514B0">
        <w:t xml:space="preserve"> </w:t>
      </w:r>
      <w:r w:rsidRPr="003C7F6D">
        <w:t>remove</w:t>
      </w:r>
      <w:r w:rsidR="002514B0">
        <w:t xml:space="preserve"> </w:t>
      </w:r>
      <w:r w:rsidRPr="003C7F6D">
        <w:t>as</w:t>
      </w:r>
      <w:r w:rsidR="002514B0">
        <w:t xml:space="preserve"> </w:t>
      </w:r>
      <w:r w:rsidRPr="003C7F6D">
        <w:t>much</w:t>
      </w:r>
      <w:r w:rsidR="002514B0">
        <w:t xml:space="preserve"> </w:t>
      </w:r>
      <w:r w:rsidRPr="003C7F6D">
        <w:t>as</w:t>
      </w:r>
      <w:r w:rsidR="002514B0">
        <w:t xml:space="preserve"> </w:t>
      </w:r>
      <w:r w:rsidRPr="003C7F6D">
        <w:t>possible,</w:t>
      </w:r>
      <w:r w:rsidR="002514B0">
        <w:t xml:space="preserve"> </w:t>
      </w:r>
      <w:r w:rsidRPr="003C7F6D">
        <w:t>capital</w:t>
      </w:r>
      <w:r w:rsidR="002514B0">
        <w:t xml:space="preserve"> </w:t>
      </w:r>
      <w:r w:rsidRPr="003C7F6D">
        <w:t>costs</w:t>
      </w:r>
      <w:r w:rsidR="002514B0">
        <w:t xml:space="preserve"> </w:t>
      </w:r>
      <w:r w:rsidRPr="003C7F6D">
        <w:t>from</w:t>
      </w:r>
      <w:r w:rsidR="002514B0">
        <w:t xml:space="preserve"> </w:t>
      </w:r>
      <w:r w:rsidRPr="003C7F6D">
        <w:t>the</w:t>
      </w:r>
      <w:r w:rsidR="002514B0">
        <w:t xml:space="preserve"> </w:t>
      </w:r>
      <w:r w:rsidRPr="003C7F6D">
        <w:t>FAC.</w:t>
      </w:r>
      <w:r w:rsidR="002514B0">
        <w:t xml:space="preserve"> </w:t>
      </w:r>
      <w:r w:rsidRPr="003C7F6D">
        <w:t>Similarly,</w:t>
      </w:r>
      <w:r w:rsidR="002514B0">
        <w:t xml:space="preserve"> </w:t>
      </w:r>
      <w:r w:rsidRPr="003C7F6D">
        <w:t>to</w:t>
      </w:r>
      <w:r w:rsidR="002514B0">
        <w:t xml:space="preserve"> </w:t>
      </w:r>
      <w:r w:rsidRPr="003C7F6D">
        <w:t>add</w:t>
      </w:r>
      <w:r w:rsidR="002514B0">
        <w:t xml:space="preserve"> </w:t>
      </w:r>
      <w:r w:rsidRPr="003C7F6D">
        <w:t>and</w:t>
      </w:r>
      <w:r w:rsidR="002514B0">
        <w:t xml:space="preserve"> </w:t>
      </w:r>
      <w:r w:rsidRPr="003C7F6D">
        <w:t>similarly,</w:t>
      </w:r>
      <w:r w:rsidR="002514B0">
        <w:t xml:space="preserve"> </w:t>
      </w:r>
      <w:r w:rsidRPr="003C7F6D">
        <w:t>for</w:t>
      </w:r>
      <w:r w:rsidR="002514B0">
        <w:t xml:space="preserve"> </w:t>
      </w:r>
      <w:r w:rsidRPr="003C7F6D">
        <w:t>another</w:t>
      </w:r>
      <w:r w:rsidR="002514B0">
        <w:t xml:space="preserve"> </w:t>
      </w:r>
      <w:r w:rsidRPr="003C7F6D">
        <w:t>rider</w:t>
      </w:r>
      <w:r w:rsidR="002514B0">
        <w:t xml:space="preserve"> </w:t>
      </w:r>
      <w:r w:rsidRPr="003C7F6D">
        <w:t>to,</w:t>
      </w:r>
      <w:r w:rsidR="002514B0">
        <w:t xml:space="preserve"> </w:t>
      </w:r>
      <w:r w:rsidRPr="003C7F6D">
        <w:t>remove</w:t>
      </w:r>
      <w:r w:rsidR="002514B0">
        <w:t xml:space="preserve"> </w:t>
      </w:r>
      <w:r w:rsidRPr="003C7F6D">
        <w:t>energy</w:t>
      </w:r>
      <w:r w:rsidR="002514B0">
        <w:t xml:space="preserve"> </w:t>
      </w:r>
      <w:r w:rsidRPr="003C7F6D">
        <w:t>costs</w:t>
      </w:r>
      <w:r w:rsidR="002514B0">
        <w:t xml:space="preserve"> </w:t>
      </w:r>
      <w:r w:rsidRPr="003C7F6D">
        <w:t>from</w:t>
      </w:r>
      <w:r w:rsidR="002514B0">
        <w:t xml:space="preserve"> </w:t>
      </w:r>
      <w:r w:rsidRPr="003C7F6D">
        <w:t>it,</w:t>
      </w:r>
      <w:r w:rsidR="002514B0">
        <w:t xml:space="preserve"> </w:t>
      </w:r>
      <w:r w:rsidRPr="003C7F6D">
        <w:t>so</w:t>
      </w:r>
      <w:r w:rsidR="002514B0">
        <w:t xml:space="preserve"> </w:t>
      </w:r>
      <w:r w:rsidRPr="003C7F6D">
        <w:t>that</w:t>
      </w:r>
      <w:r w:rsidR="002514B0">
        <w:t xml:space="preserve"> </w:t>
      </w:r>
      <w:r w:rsidRPr="003C7F6D">
        <w:t>the</w:t>
      </w:r>
      <w:r w:rsidR="002514B0">
        <w:t xml:space="preserve"> </w:t>
      </w:r>
      <w:r w:rsidRPr="003C7F6D">
        <w:t>new</w:t>
      </w:r>
      <w:r w:rsidR="002514B0">
        <w:t xml:space="preserve"> </w:t>
      </w:r>
      <w:r w:rsidRPr="003C7F6D">
        <w:t>rate</w:t>
      </w:r>
      <w:r w:rsidR="002514B0">
        <w:t xml:space="preserve"> </w:t>
      </w:r>
      <w:r w:rsidRPr="003C7F6D">
        <w:t>structure</w:t>
      </w:r>
      <w:r w:rsidR="002514B0">
        <w:t xml:space="preserve"> </w:t>
      </w:r>
      <w:r w:rsidRPr="003C7F6D">
        <w:t>will</w:t>
      </w:r>
      <w:r w:rsidR="002514B0">
        <w:t xml:space="preserve"> </w:t>
      </w:r>
      <w:r w:rsidRPr="003C7F6D">
        <w:t>have</w:t>
      </w:r>
      <w:r w:rsidR="002514B0">
        <w:t xml:space="preserve"> </w:t>
      </w:r>
      <w:r w:rsidRPr="003C7F6D">
        <w:t>a</w:t>
      </w:r>
      <w:r w:rsidR="002514B0">
        <w:t xml:space="preserve"> </w:t>
      </w:r>
      <w:r w:rsidRPr="003C7F6D">
        <w:t>“purer”</w:t>
      </w:r>
      <w:r w:rsidR="002514B0">
        <w:t xml:space="preserve"> </w:t>
      </w:r>
      <w:r w:rsidR="00D7690A">
        <w:t>cost-of-energy</w:t>
      </w:r>
      <w:r w:rsidRPr="003C7F6D">
        <w:t>.</w:t>
      </w:r>
    </w:p>
    <w:p w14:paraId="1BBCD6C7" w14:textId="70AC4DD5" w:rsidR="004D324B" w:rsidRPr="003C7F6D" w:rsidRDefault="004D324B" w:rsidP="004D324B">
      <w:pPr>
        <w:pStyle w:val="Heading2"/>
      </w:pPr>
      <w:bookmarkStart w:id="132" w:name="_Toc16090432"/>
      <w:bookmarkStart w:id="133" w:name="_Toc16165415"/>
      <w:bookmarkStart w:id="134" w:name="_Toc16317751"/>
      <w:bookmarkStart w:id="135" w:name="_Toc16254915"/>
      <w:r w:rsidRPr="003C7F6D">
        <w:t>In</w:t>
      </w:r>
      <w:r w:rsidR="002514B0">
        <w:t xml:space="preserve"> </w:t>
      </w:r>
      <w:r w:rsidRPr="003C7F6D">
        <w:t>traditional</w:t>
      </w:r>
      <w:r w:rsidR="002514B0">
        <w:t xml:space="preserve"> </w:t>
      </w:r>
      <w:r w:rsidRPr="003C7F6D">
        <w:t>electricity</w:t>
      </w:r>
      <w:r w:rsidR="002514B0">
        <w:t xml:space="preserve"> </w:t>
      </w:r>
      <w:r w:rsidRPr="003C7F6D">
        <w:t>rate</w:t>
      </w:r>
      <w:r w:rsidR="002514B0">
        <w:t xml:space="preserve"> </w:t>
      </w:r>
      <w:r w:rsidRPr="003C7F6D">
        <w:t>cases,</w:t>
      </w:r>
      <w:r w:rsidR="002514B0">
        <w:t xml:space="preserve"> </w:t>
      </w:r>
      <w:r w:rsidRPr="003C7F6D">
        <w:t>capacity</w:t>
      </w:r>
      <w:r w:rsidR="002514B0">
        <w:t xml:space="preserve"> </w:t>
      </w:r>
      <w:r w:rsidRPr="003C7F6D">
        <w:t>assets</w:t>
      </w:r>
      <w:r w:rsidR="002514B0">
        <w:t xml:space="preserve"> </w:t>
      </w:r>
      <w:r w:rsidRPr="003C7F6D">
        <w:t>can</w:t>
      </w:r>
      <w:r w:rsidR="002514B0">
        <w:t xml:space="preserve"> </w:t>
      </w:r>
      <w:r w:rsidRPr="003C7F6D">
        <w:t>be</w:t>
      </w:r>
      <w:r w:rsidR="002514B0">
        <w:t xml:space="preserve"> </w:t>
      </w:r>
      <w:r w:rsidRPr="003C7F6D">
        <w:t>turned</w:t>
      </w:r>
      <w:r w:rsidR="002514B0">
        <w:t xml:space="preserve"> </w:t>
      </w:r>
      <w:r w:rsidRPr="003C7F6D">
        <w:t>off</w:t>
      </w:r>
      <w:r w:rsidR="002514B0">
        <w:t xml:space="preserve"> </w:t>
      </w:r>
      <w:r w:rsidRPr="003C7F6D">
        <w:t>or</w:t>
      </w:r>
      <w:r w:rsidR="002514B0">
        <w:t xml:space="preserve"> </w:t>
      </w:r>
      <w:r w:rsidRPr="003C7F6D">
        <w:t>on</w:t>
      </w:r>
      <w:r w:rsidR="002514B0">
        <w:t xml:space="preserve"> </w:t>
      </w:r>
      <w:r w:rsidRPr="003C7F6D">
        <w:t>at</w:t>
      </w:r>
      <w:r w:rsidR="002514B0">
        <w:t xml:space="preserve"> </w:t>
      </w:r>
      <w:r w:rsidRPr="003C7F6D">
        <w:t>will</w:t>
      </w:r>
      <w:bookmarkEnd w:id="132"/>
      <w:bookmarkEnd w:id="133"/>
      <w:bookmarkEnd w:id="134"/>
      <w:bookmarkEnd w:id="135"/>
      <w:r w:rsidR="002514B0">
        <w:t xml:space="preserve"> </w:t>
      </w:r>
    </w:p>
    <w:p w14:paraId="3688565A" w14:textId="3ADA9D2F" w:rsidR="004D324B" w:rsidRPr="003C7F6D" w:rsidRDefault="004D324B" w:rsidP="004D324B">
      <w:pPr>
        <w:pStyle w:val="BodyText"/>
      </w:pPr>
      <w:r w:rsidRPr="003C7F6D">
        <w:t>In</w:t>
      </w:r>
      <w:r w:rsidR="002514B0">
        <w:t xml:space="preserve"> </w:t>
      </w:r>
      <w:r w:rsidRPr="003C7F6D">
        <w:t>traditional</w:t>
      </w:r>
      <w:r w:rsidR="002514B0">
        <w:t xml:space="preserve"> </w:t>
      </w:r>
      <w:r w:rsidRPr="003C7F6D">
        <w:t>electricity</w:t>
      </w:r>
      <w:r w:rsidR="002514B0">
        <w:t xml:space="preserve"> </w:t>
      </w:r>
      <w:r w:rsidRPr="003C7F6D">
        <w:t>rate</w:t>
      </w:r>
      <w:r w:rsidR="002514B0">
        <w:t xml:space="preserve"> </w:t>
      </w:r>
      <w:r w:rsidRPr="003C7F6D">
        <w:t>cases,</w:t>
      </w:r>
      <w:r w:rsidR="002514B0">
        <w:t xml:space="preserve"> </w:t>
      </w:r>
      <w:r w:rsidRPr="003C7F6D">
        <w:t>capacity</w:t>
      </w:r>
      <w:r w:rsidR="002514B0">
        <w:t xml:space="preserve"> </w:t>
      </w:r>
      <w:r w:rsidRPr="003C7F6D">
        <w:t>assets</w:t>
      </w:r>
      <w:r w:rsidR="002514B0">
        <w:t xml:space="preserve"> </w:t>
      </w:r>
      <w:r w:rsidRPr="003C7F6D">
        <w:t>can</w:t>
      </w:r>
      <w:r w:rsidR="002514B0">
        <w:t xml:space="preserve"> </w:t>
      </w:r>
      <w:r w:rsidRPr="003C7F6D">
        <w:t>be</w:t>
      </w:r>
      <w:r w:rsidR="002514B0">
        <w:t xml:space="preserve"> </w:t>
      </w:r>
      <w:r w:rsidRPr="003C7F6D">
        <w:t>turned</w:t>
      </w:r>
      <w:r w:rsidR="002514B0">
        <w:t xml:space="preserve"> </w:t>
      </w:r>
      <w:r w:rsidRPr="003C7F6D">
        <w:t>off</w:t>
      </w:r>
      <w:r w:rsidR="002514B0">
        <w:t xml:space="preserve"> </w:t>
      </w:r>
      <w:r w:rsidRPr="003C7F6D">
        <w:t>or</w:t>
      </w:r>
      <w:r w:rsidR="002514B0">
        <w:t xml:space="preserve"> </w:t>
      </w:r>
      <w:r w:rsidRPr="003C7F6D">
        <w:t>on</w:t>
      </w:r>
      <w:r w:rsidR="002514B0">
        <w:t xml:space="preserve"> </w:t>
      </w:r>
      <w:r w:rsidRPr="003C7F6D">
        <w:t>at</w:t>
      </w:r>
      <w:r w:rsidR="002514B0">
        <w:t xml:space="preserve"> </w:t>
      </w:r>
      <w:r w:rsidRPr="003C7F6D">
        <w:t>will</w:t>
      </w:r>
      <w:r w:rsidR="002514B0">
        <w:t xml:space="preserve"> </w:t>
      </w:r>
      <w:r w:rsidRPr="003C7F6D">
        <w:t>in</w:t>
      </w:r>
      <w:r w:rsidR="002514B0">
        <w:t xml:space="preserve"> </w:t>
      </w:r>
      <w:r w:rsidRPr="003C7F6D">
        <w:t>order</w:t>
      </w:r>
      <w:r w:rsidR="002514B0">
        <w:t xml:space="preserve"> </w:t>
      </w:r>
      <w:r w:rsidRPr="003C7F6D">
        <w:t>to</w:t>
      </w:r>
      <w:r w:rsidR="002514B0">
        <w:t xml:space="preserve"> </w:t>
      </w:r>
      <w:r w:rsidRPr="003C7F6D">
        <w:t>dispatch</w:t>
      </w:r>
      <w:r w:rsidR="002514B0">
        <w:t xml:space="preserve"> </w:t>
      </w:r>
      <w:r w:rsidRPr="003C7F6D">
        <w:t>electricity</w:t>
      </w:r>
      <w:r w:rsidR="002514B0">
        <w:t xml:space="preserve"> </w:t>
      </w:r>
      <w:r w:rsidRPr="003C7F6D">
        <w:t>in</w:t>
      </w:r>
      <w:r w:rsidR="002514B0">
        <w:t xml:space="preserve"> </w:t>
      </w:r>
      <w:r w:rsidRPr="003C7F6D">
        <w:t>response</w:t>
      </w:r>
      <w:r w:rsidR="002514B0">
        <w:t xml:space="preserve"> </w:t>
      </w:r>
      <w:r w:rsidRPr="003C7F6D">
        <w:t>to</w:t>
      </w:r>
      <w:r w:rsidR="002514B0">
        <w:t xml:space="preserve"> </w:t>
      </w:r>
      <w:r w:rsidRPr="003C7F6D">
        <w:t>changing</w:t>
      </w:r>
      <w:r w:rsidR="002514B0">
        <w:t xml:space="preserve"> </w:t>
      </w:r>
      <w:r w:rsidRPr="003C7F6D">
        <w:t>demand</w:t>
      </w:r>
      <w:r w:rsidR="002514B0">
        <w:t xml:space="preserve"> </w:t>
      </w:r>
      <w:r w:rsidRPr="003C7F6D">
        <w:t>and</w:t>
      </w:r>
      <w:r w:rsidR="002514B0">
        <w:t xml:space="preserve"> </w:t>
      </w:r>
      <w:r w:rsidRPr="003C7F6D">
        <w:t>such</w:t>
      </w:r>
      <w:r w:rsidR="002514B0">
        <w:t xml:space="preserve"> </w:t>
      </w:r>
      <w:r w:rsidRPr="003C7F6D">
        <w:t>assets’</w:t>
      </w:r>
      <w:r w:rsidR="002514B0">
        <w:t xml:space="preserve"> </w:t>
      </w:r>
      <w:r w:rsidRPr="003C7F6D">
        <w:t>capital</w:t>
      </w:r>
      <w:r w:rsidR="002514B0">
        <w:t xml:space="preserve"> </w:t>
      </w:r>
      <w:r w:rsidRPr="003C7F6D">
        <w:t>costs</w:t>
      </w:r>
      <w:r w:rsidR="002514B0">
        <w:t xml:space="preserve"> </w:t>
      </w:r>
      <w:r w:rsidRPr="003C7F6D">
        <w:t>were</w:t>
      </w:r>
      <w:r w:rsidR="002514B0">
        <w:t xml:space="preserve"> </w:t>
      </w:r>
      <w:r w:rsidRPr="003C7F6D">
        <w:t>the</w:t>
      </w:r>
      <w:r w:rsidR="002514B0">
        <w:t xml:space="preserve"> </w:t>
      </w:r>
      <w:r w:rsidRPr="003C7F6D">
        <w:t>main</w:t>
      </w:r>
      <w:r w:rsidR="002514B0">
        <w:t xml:space="preserve"> </w:t>
      </w:r>
      <w:r w:rsidRPr="003C7F6D">
        <w:t>component</w:t>
      </w:r>
      <w:r w:rsidR="002514B0">
        <w:t xml:space="preserve"> </w:t>
      </w:r>
      <w:r w:rsidRPr="003C7F6D">
        <w:t>to</w:t>
      </w:r>
      <w:r w:rsidR="002514B0">
        <w:t xml:space="preserve"> </w:t>
      </w:r>
      <w:r w:rsidRPr="003C7F6D">
        <w:t>establish</w:t>
      </w:r>
      <w:r w:rsidR="002514B0">
        <w:t xml:space="preserve"> </w:t>
      </w:r>
      <w:r w:rsidRPr="003C7F6D">
        <w:t>both</w:t>
      </w:r>
      <w:r w:rsidR="002514B0">
        <w:t xml:space="preserve"> </w:t>
      </w:r>
      <w:r w:rsidRPr="003C7F6D">
        <w:t>the</w:t>
      </w:r>
      <w:r w:rsidR="002514B0">
        <w:t xml:space="preserve"> </w:t>
      </w:r>
      <w:r w:rsidRPr="003C7F6D">
        <w:t>revenue</w:t>
      </w:r>
      <w:r w:rsidR="002514B0">
        <w:t xml:space="preserve"> </w:t>
      </w:r>
      <w:r w:rsidRPr="003C7F6D">
        <w:t>requirements</w:t>
      </w:r>
      <w:r w:rsidR="002514B0">
        <w:t xml:space="preserve"> </w:t>
      </w:r>
      <w:r w:rsidRPr="003C7F6D">
        <w:t>and</w:t>
      </w:r>
      <w:r w:rsidR="002514B0">
        <w:t xml:space="preserve"> </w:t>
      </w:r>
      <w:r w:rsidRPr="003C7F6D">
        <w:t>the</w:t>
      </w:r>
      <w:r w:rsidR="002514B0">
        <w:t xml:space="preserve"> </w:t>
      </w:r>
      <w:r w:rsidRPr="003C7F6D">
        <w:t>allocation</w:t>
      </w:r>
      <w:r w:rsidR="002514B0">
        <w:t xml:space="preserve"> </w:t>
      </w:r>
      <w:r w:rsidRPr="003C7F6D">
        <w:t>of</w:t>
      </w:r>
      <w:r w:rsidR="002514B0">
        <w:t xml:space="preserve"> </w:t>
      </w:r>
      <w:r w:rsidRPr="003C7F6D">
        <w:t>costs</w:t>
      </w:r>
      <w:r w:rsidR="002514B0">
        <w:t xml:space="preserve"> </w:t>
      </w:r>
      <w:r w:rsidRPr="003C7F6D">
        <w:t>between</w:t>
      </w:r>
      <w:r w:rsidR="002514B0">
        <w:t xml:space="preserve"> </w:t>
      </w:r>
      <w:r w:rsidRPr="003C7F6D">
        <w:t>customer</w:t>
      </w:r>
      <w:r w:rsidR="002514B0">
        <w:t xml:space="preserve"> </w:t>
      </w:r>
      <w:r w:rsidRPr="003C7F6D">
        <w:t>classes.</w:t>
      </w:r>
    </w:p>
    <w:p w14:paraId="27658E2B" w14:textId="597AC1CD" w:rsidR="004D324B" w:rsidRPr="003C7F6D" w:rsidRDefault="004D324B" w:rsidP="004D324B">
      <w:pPr>
        <w:pStyle w:val="Heading2"/>
      </w:pPr>
      <w:bookmarkStart w:id="136" w:name="_Toc16090433"/>
      <w:bookmarkStart w:id="137" w:name="_Toc16165416"/>
      <w:bookmarkStart w:id="138" w:name="_Toc16317752"/>
      <w:bookmarkStart w:id="139" w:name="_Toc16254916"/>
      <w:r w:rsidRPr="003C7F6D">
        <w:t>Renewable</w:t>
      </w:r>
      <w:r w:rsidR="002514B0">
        <w:t xml:space="preserve"> </w:t>
      </w:r>
      <w:r w:rsidRPr="003C7F6D">
        <w:t>Energy</w:t>
      </w:r>
      <w:r w:rsidR="002514B0">
        <w:t xml:space="preserve"> </w:t>
      </w:r>
      <w:r w:rsidRPr="003C7F6D">
        <w:t>Resources</w:t>
      </w:r>
      <w:r w:rsidR="002514B0">
        <w:t xml:space="preserve"> </w:t>
      </w:r>
      <w:r w:rsidRPr="003C7F6D">
        <w:t>disrupt</w:t>
      </w:r>
      <w:r w:rsidR="002514B0">
        <w:t xml:space="preserve"> </w:t>
      </w:r>
      <w:r w:rsidRPr="003C7F6D">
        <w:t>this</w:t>
      </w:r>
      <w:r w:rsidR="002514B0">
        <w:t xml:space="preserve"> </w:t>
      </w:r>
      <w:r w:rsidRPr="003C7F6D">
        <w:t>assumption.</w:t>
      </w:r>
      <w:bookmarkEnd w:id="136"/>
      <w:bookmarkEnd w:id="137"/>
      <w:bookmarkEnd w:id="138"/>
      <w:bookmarkEnd w:id="139"/>
      <w:r w:rsidR="002514B0">
        <w:t xml:space="preserve"> </w:t>
      </w:r>
    </w:p>
    <w:p w14:paraId="7E0BC86E" w14:textId="588E18C5" w:rsidR="004D324B" w:rsidRPr="003C7F6D" w:rsidRDefault="004D324B" w:rsidP="004D324B">
      <w:pPr>
        <w:pStyle w:val="BodyText"/>
      </w:pPr>
      <w:r w:rsidRPr="003C7F6D">
        <w:t>Distributed</w:t>
      </w:r>
      <w:r w:rsidR="002514B0">
        <w:t xml:space="preserve"> </w:t>
      </w:r>
      <w:r w:rsidRPr="003C7F6D">
        <w:t>Energy</w:t>
      </w:r>
      <w:r w:rsidR="002514B0">
        <w:t xml:space="preserve"> </w:t>
      </w:r>
      <w:r w:rsidRPr="003C7F6D">
        <w:t>Resources</w:t>
      </w:r>
      <w:r w:rsidR="002514B0">
        <w:t xml:space="preserve"> </w:t>
      </w:r>
      <w:r w:rsidRPr="003C7F6D">
        <w:t>(DER)</w:t>
      </w:r>
      <w:r w:rsidR="002514B0">
        <w:t xml:space="preserve"> </w:t>
      </w:r>
      <w:r w:rsidRPr="003C7F6D">
        <w:t>whether</w:t>
      </w:r>
      <w:r w:rsidR="002514B0">
        <w:t xml:space="preserve"> </w:t>
      </w:r>
      <w:r w:rsidRPr="003C7F6D">
        <w:t>on</w:t>
      </w:r>
      <w:r w:rsidR="002514B0">
        <w:t xml:space="preserve"> </w:t>
      </w:r>
      <w:r w:rsidRPr="003C7F6D">
        <w:t>the</w:t>
      </w:r>
      <w:r w:rsidR="002514B0">
        <w:t xml:space="preserve"> </w:t>
      </w:r>
      <w:r w:rsidRPr="003C7F6D">
        <w:t>customers’</w:t>
      </w:r>
      <w:r w:rsidR="002514B0">
        <w:t xml:space="preserve"> </w:t>
      </w:r>
      <w:r w:rsidRPr="003C7F6D">
        <w:t>side</w:t>
      </w:r>
      <w:r w:rsidR="002514B0">
        <w:t xml:space="preserve"> </w:t>
      </w:r>
      <w:r w:rsidRPr="003C7F6D">
        <w:t>of</w:t>
      </w:r>
      <w:r w:rsidR="002514B0">
        <w:t xml:space="preserve"> </w:t>
      </w:r>
      <w:r w:rsidRPr="003C7F6D">
        <w:t>the</w:t>
      </w:r>
      <w:r w:rsidR="002514B0">
        <w:t xml:space="preserve"> </w:t>
      </w:r>
      <w:r w:rsidRPr="003C7F6D">
        <w:t>meter</w:t>
      </w:r>
      <w:r w:rsidR="002514B0">
        <w:t xml:space="preserve"> </w:t>
      </w:r>
      <w:r w:rsidRPr="003C7F6D">
        <w:t>or</w:t>
      </w:r>
      <w:r w:rsidR="002514B0">
        <w:t xml:space="preserve"> </w:t>
      </w:r>
      <w:r w:rsidRPr="003C7F6D">
        <w:t>on</w:t>
      </w:r>
      <w:r w:rsidR="002514B0">
        <w:t xml:space="preserve"> </w:t>
      </w:r>
      <w:r w:rsidRPr="003C7F6D">
        <w:t>the</w:t>
      </w:r>
      <w:r w:rsidR="002514B0">
        <w:t xml:space="preserve"> </w:t>
      </w:r>
      <w:r w:rsidRPr="003C7F6D">
        <w:t>utility’s</w:t>
      </w:r>
      <w:r w:rsidR="002514B0">
        <w:t xml:space="preserve"> </w:t>
      </w:r>
      <w:r w:rsidRPr="003C7F6D">
        <w:t>side</w:t>
      </w:r>
      <w:r w:rsidR="002514B0">
        <w:t xml:space="preserve"> </w:t>
      </w:r>
      <w:r w:rsidRPr="003C7F6D">
        <w:t>generally</w:t>
      </w:r>
      <w:r w:rsidR="002514B0">
        <w:t xml:space="preserve"> </w:t>
      </w:r>
      <w:r w:rsidRPr="003C7F6D">
        <w:t>disrupt</w:t>
      </w:r>
      <w:r w:rsidR="002514B0">
        <w:t xml:space="preserve"> </w:t>
      </w:r>
      <w:r w:rsidRPr="003C7F6D">
        <w:t>this</w:t>
      </w:r>
      <w:r w:rsidR="002514B0">
        <w:t xml:space="preserve"> </w:t>
      </w:r>
      <w:r w:rsidRPr="003C7F6D">
        <w:t>assumption.</w:t>
      </w:r>
    </w:p>
    <w:p w14:paraId="251528BC" w14:textId="51381C85" w:rsidR="004D324B" w:rsidRPr="003C7F6D" w:rsidRDefault="004D324B" w:rsidP="004D324B">
      <w:pPr>
        <w:pStyle w:val="Heading2"/>
      </w:pPr>
      <w:bookmarkStart w:id="140" w:name="_Toc16090434"/>
      <w:bookmarkStart w:id="141" w:name="_Toc16165417"/>
      <w:bookmarkStart w:id="142" w:name="_Toc16317753"/>
      <w:bookmarkStart w:id="143" w:name="_Toc16254917"/>
      <w:r w:rsidRPr="003C7F6D">
        <w:t>Renewable</w:t>
      </w:r>
      <w:r w:rsidR="002514B0">
        <w:t xml:space="preserve"> </w:t>
      </w:r>
      <w:r w:rsidRPr="003C7F6D">
        <w:t>energy</w:t>
      </w:r>
      <w:r w:rsidR="002514B0">
        <w:t xml:space="preserve"> </w:t>
      </w:r>
      <w:r w:rsidRPr="003C7F6D">
        <w:t>(RE)</w:t>
      </w:r>
      <w:r w:rsidR="002514B0">
        <w:t xml:space="preserve"> </w:t>
      </w:r>
      <w:r>
        <w:t>is</w:t>
      </w:r>
      <w:r w:rsidR="002514B0">
        <w:t xml:space="preserve"> </w:t>
      </w:r>
      <w:r w:rsidRPr="003C7F6D">
        <w:t>rapidly</w:t>
      </w:r>
      <w:r w:rsidR="002514B0">
        <w:t xml:space="preserve"> </w:t>
      </w:r>
      <w:r w:rsidRPr="003C7F6D">
        <w:t>displacing</w:t>
      </w:r>
      <w:r w:rsidR="002514B0">
        <w:t xml:space="preserve"> </w:t>
      </w:r>
      <w:r w:rsidRPr="003C7F6D">
        <w:t>traditional</w:t>
      </w:r>
      <w:r w:rsidR="002514B0">
        <w:t xml:space="preserve"> </w:t>
      </w:r>
      <w:r w:rsidRPr="003C7F6D">
        <w:t>generating</w:t>
      </w:r>
      <w:r w:rsidR="002514B0">
        <w:t xml:space="preserve"> </w:t>
      </w:r>
      <w:r w:rsidRPr="003C7F6D">
        <w:t>assets</w:t>
      </w:r>
      <w:bookmarkEnd w:id="140"/>
      <w:bookmarkEnd w:id="141"/>
      <w:bookmarkEnd w:id="142"/>
      <w:bookmarkEnd w:id="143"/>
      <w:r w:rsidR="002514B0">
        <w:t xml:space="preserve"> </w:t>
      </w:r>
    </w:p>
    <w:p w14:paraId="37C8890B" w14:textId="72D17A33" w:rsidR="004D324B" w:rsidRPr="003C7F6D" w:rsidRDefault="004D324B" w:rsidP="004D324B">
      <w:pPr>
        <w:pStyle w:val="BodyText"/>
      </w:pPr>
      <w:r w:rsidRPr="003C7F6D">
        <w:t>Renewable</w:t>
      </w:r>
      <w:r w:rsidR="002514B0">
        <w:t xml:space="preserve"> </w:t>
      </w:r>
      <w:r w:rsidRPr="003C7F6D">
        <w:t>energy</w:t>
      </w:r>
      <w:r w:rsidR="002514B0">
        <w:t xml:space="preserve"> </w:t>
      </w:r>
      <w:r w:rsidRPr="003C7F6D">
        <w:t>(RE)</w:t>
      </w:r>
      <w:r w:rsidR="002514B0">
        <w:t xml:space="preserve"> </w:t>
      </w:r>
      <w:r w:rsidRPr="003C7F6D">
        <w:t>from</w:t>
      </w:r>
      <w:r w:rsidR="002514B0">
        <w:t xml:space="preserve"> </w:t>
      </w:r>
      <w:r w:rsidRPr="003C7F6D">
        <w:t>wind</w:t>
      </w:r>
      <w:r w:rsidR="002514B0">
        <w:t xml:space="preserve"> </w:t>
      </w:r>
      <w:r w:rsidRPr="003C7F6D">
        <w:t>and</w:t>
      </w:r>
      <w:r w:rsidR="002514B0">
        <w:t xml:space="preserve"> </w:t>
      </w:r>
      <w:r w:rsidRPr="003C7F6D">
        <w:t>solar</w:t>
      </w:r>
      <w:r w:rsidR="002514B0">
        <w:t xml:space="preserve"> </w:t>
      </w:r>
      <w:r w:rsidRPr="003C7F6D">
        <w:t>is</w:t>
      </w:r>
      <w:r w:rsidR="002514B0">
        <w:t xml:space="preserve"> </w:t>
      </w:r>
      <w:r w:rsidRPr="003C7F6D">
        <w:t>rapidly</w:t>
      </w:r>
      <w:r w:rsidR="002514B0">
        <w:t xml:space="preserve"> </w:t>
      </w:r>
      <w:r w:rsidRPr="003C7F6D">
        <w:t>displacing</w:t>
      </w:r>
      <w:r w:rsidR="002514B0">
        <w:t xml:space="preserve"> </w:t>
      </w:r>
      <w:r w:rsidRPr="003C7F6D">
        <w:t>fossil</w:t>
      </w:r>
      <w:r w:rsidR="002514B0">
        <w:t xml:space="preserve"> </w:t>
      </w:r>
      <w:r w:rsidRPr="003C7F6D">
        <w:t>fuel</w:t>
      </w:r>
      <w:r w:rsidR="002514B0">
        <w:t xml:space="preserve"> </w:t>
      </w:r>
      <w:r w:rsidRPr="003C7F6D">
        <w:t>and</w:t>
      </w:r>
      <w:r w:rsidR="002514B0">
        <w:t xml:space="preserve"> </w:t>
      </w:r>
      <w:r w:rsidRPr="003C7F6D">
        <w:t>nuclear</w:t>
      </w:r>
      <w:r w:rsidR="002514B0">
        <w:t xml:space="preserve"> </w:t>
      </w:r>
      <w:r w:rsidRPr="003C7F6D">
        <w:t>generating</w:t>
      </w:r>
      <w:r w:rsidR="002514B0">
        <w:t xml:space="preserve"> </w:t>
      </w:r>
      <w:r w:rsidRPr="003C7F6D">
        <w:t>assets</w:t>
      </w:r>
      <w:r w:rsidR="002514B0">
        <w:t xml:space="preserve"> </w:t>
      </w:r>
      <w:r w:rsidRPr="003C7F6D">
        <w:t>because</w:t>
      </w:r>
      <w:r w:rsidR="002514B0">
        <w:t xml:space="preserve"> </w:t>
      </w:r>
      <w:r w:rsidRPr="003C7F6D">
        <w:t>they</w:t>
      </w:r>
      <w:r w:rsidR="002514B0">
        <w:t xml:space="preserve"> </w:t>
      </w:r>
      <w:r w:rsidRPr="003C7F6D">
        <w:t>cannot</w:t>
      </w:r>
      <w:r w:rsidR="002514B0">
        <w:t xml:space="preserve"> </w:t>
      </w:r>
      <w:r w:rsidRPr="003C7F6D">
        <w:t>economically</w:t>
      </w:r>
      <w:r w:rsidR="002514B0">
        <w:t xml:space="preserve"> </w:t>
      </w:r>
      <w:r w:rsidRPr="003C7F6D">
        <w:t>compete</w:t>
      </w:r>
      <w:r w:rsidR="002514B0">
        <w:t xml:space="preserve"> </w:t>
      </w:r>
      <w:r w:rsidRPr="003C7F6D">
        <w:t>with</w:t>
      </w:r>
      <w:r w:rsidR="002514B0">
        <w:t xml:space="preserve"> </w:t>
      </w:r>
      <w:r w:rsidRPr="003C7F6D">
        <w:t>RE,</w:t>
      </w:r>
      <w:r w:rsidR="002514B0">
        <w:t xml:space="preserve"> </w:t>
      </w:r>
      <w:r w:rsidRPr="003C7F6D">
        <w:t>even</w:t>
      </w:r>
      <w:r w:rsidR="002514B0">
        <w:t xml:space="preserve"> </w:t>
      </w:r>
      <w:r w:rsidRPr="003C7F6D">
        <w:t>though,</w:t>
      </w:r>
      <w:r w:rsidR="002514B0">
        <w:t xml:space="preserve"> </w:t>
      </w:r>
      <w:r w:rsidRPr="003C7F6D">
        <w:t>RE</w:t>
      </w:r>
      <w:r w:rsidR="002514B0">
        <w:t xml:space="preserve"> </w:t>
      </w:r>
      <w:r w:rsidRPr="003C7F6D">
        <w:t>is</w:t>
      </w:r>
      <w:r w:rsidR="002514B0">
        <w:t xml:space="preserve"> </w:t>
      </w:r>
      <w:r w:rsidRPr="003C7F6D">
        <w:t>not</w:t>
      </w:r>
      <w:r w:rsidR="002514B0">
        <w:t xml:space="preserve"> </w:t>
      </w:r>
      <w:r w:rsidRPr="003C7F6D">
        <w:t>dispatchable.</w:t>
      </w:r>
    </w:p>
    <w:p w14:paraId="233E2F2F" w14:textId="18343D3C" w:rsidR="004D324B" w:rsidRPr="003C7F6D" w:rsidRDefault="004D324B" w:rsidP="004D324B">
      <w:pPr>
        <w:pStyle w:val="Heading2"/>
      </w:pPr>
      <w:bookmarkStart w:id="144" w:name="_Toc16165418"/>
      <w:bookmarkStart w:id="145" w:name="_Toc16317754"/>
      <w:bookmarkStart w:id="146" w:name="_Toc16254918"/>
      <w:r w:rsidRPr="003C7F6D">
        <w:lastRenderedPageBreak/>
        <w:t>Distributed</w:t>
      </w:r>
      <w:r w:rsidR="002514B0">
        <w:t xml:space="preserve"> </w:t>
      </w:r>
      <w:r w:rsidRPr="003C7F6D">
        <w:t>Energy</w:t>
      </w:r>
      <w:r w:rsidR="002514B0">
        <w:t xml:space="preserve"> </w:t>
      </w:r>
      <w:r w:rsidRPr="003C7F6D">
        <w:t>Resources</w:t>
      </w:r>
      <w:r w:rsidR="002514B0">
        <w:t xml:space="preserve"> </w:t>
      </w:r>
      <w:r w:rsidRPr="003C7F6D">
        <w:t>(</w:t>
      </w:r>
      <w:bookmarkStart w:id="147" w:name="_Toc16090435"/>
      <w:r w:rsidRPr="003C7F6D">
        <w:t>DER)</w:t>
      </w:r>
      <w:r w:rsidR="002514B0">
        <w:t xml:space="preserve"> </w:t>
      </w:r>
      <w:r w:rsidRPr="003C7F6D">
        <w:t>provide</w:t>
      </w:r>
      <w:r w:rsidR="002514B0">
        <w:t xml:space="preserve"> </w:t>
      </w:r>
      <w:r w:rsidRPr="003C7F6D">
        <w:t>more</w:t>
      </w:r>
      <w:r w:rsidR="002514B0">
        <w:t xml:space="preserve"> </w:t>
      </w:r>
      <w:r w:rsidRPr="003C7F6D">
        <w:t>economic</w:t>
      </w:r>
      <w:r w:rsidR="002514B0">
        <w:t xml:space="preserve"> </w:t>
      </w:r>
      <w:r w:rsidRPr="003C7F6D">
        <w:t>value</w:t>
      </w:r>
      <w:r w:rsidR="002514B0">
        <w:t xml:space="preserve"> </w:t>
      </w:r>
      <w:r w:rsidRPr="003C7F6D">
        <w:t>to</w:t>
      </w:r>
      <w:r w:rsidR="002514B0">
        <w:t xml:space="preserve"> </w:t>
      </w:r>
      <w:r w:rsidRPr="003C7F6D">
        <w:t>the</w:t>
      </w:r>
      <w:r w:rsidR="002514B0">
        <w:t xml:space="preserve"> </w:t>
      </w:r>
      <w:r w:rsidRPr="003C7F6D">
        <w:t>grid</w:t>
      </w:r>
      <w:r w:rsidR="002514B0">
        <w:t xml:space="preserve"> </w:t>
      </w:r>
      <w:r w:rsidRPr="003C7F6D">
        <w:t>if</w:t>
      </w:r>
      <w:r w:rsidR="002514B0">
        <w:t xml:space="preserve"> </w:t>
      </w:r>
      <w:r w:rsidRPr="003C7F6D">
        <w:t>installed</w:t>
      </w:r>
      <w:r w:rsidR="002514B0">
        <w:t xml:space="preserve"> </w:t>
      </w:r>
      <w:r w:rsidRPr="003C7F6D">
        <w:t>on</w:t>
      </w:r>
      <w:r w:rsidR="002514B0">
        <w:t xml:space="preserve"> </w:t>
      </w:r>
      <w:r w:rsidRPr="003C7F6D">
        <w:t>the</w:t>
      </w:r>
      <w:r w:rsidR="002514B0">
        <w:t xml:space="preserve"> </w:t>
      </w:r>
      <w:r w:rsidRPr="003C7F6D">
        <w:t>customers’</w:t>
      </w:r>
      <w:r w:rsidR="002514B0">
        <w:t xml:space="preserve"> </w:t>
      </w:r>
      <w:r w:rsidRPr="003C7F6D">
        <w:t>side</w:t>
      </w:r>
      <w:r w:rsidR="002514B0">
        <w:t xml:space="preserve"> </w:t>
      </w:r>
      <w:r w:rsidRPr="003C7F6D">
        <w:t>of</w:t>
      </w:r>
      <w:r w:rsidR="002514B0">
        <w:t xml:space="preserve"> </w:t>
      </w:r>
      <w:r w:rsidRPr="003C7F6D">
        <w:t>the</w:t>
      </w:r>
      <w:r w:rsidR="002514B0">
        <w:t xml:space="preserve"> </w:t>
      </w:r>
      <w:r w:rsidRPr="003C7F6D">
        <w:t>meter</w:t>
      </w:r>
      <w:bookmarkEnd w:id="144"/>
      <w:bookmarkEnd w:id="145"/>
      <w:bookmarkEnd w:id="146"/>
      <w:bookmarkEnd w:id="147"/>
      <w:r w:rsidR="002514B0">
        <w:t xml:space="preserve"> </w:t>
      </w:r>
    </w:p>
    <w:p w14:paraId="23A4DCCB" w14:textId="05793D08" w:rsidR="004D324B" w:rsidRPr="003C7F6D" w:rsidRDefault="004D324B" w:rsidP="004D324B">
      <w:pPr>
        <w:pStyle w:val="BodyText"/>
      </w:pPr>
      <w:r w:rsidRPr="003C7F6D">
        <w:t>DER</w:t>
      </w:r>
      <w:r w:rsidR="002514B0">
        <w:t xml:space="preserve"> </w:t>
      </w:r>
      <w:r w:rsidRPr="003C7F6D">
        <w:t>provides</w:t>
      </w:r>
      <w:r w:rsidR="002514B0">
        <w:t xml:space="preserve"> </w:t>
      </w:r>
      <w:r w:rsidRPr="003C7F6D">
        <w:t>much</w:t>
      </w:r>
      <w:r w:rsidR="002514B0">
        <w:t xml:space="preserve"> </w:t>
      </w:r>
      <w:r w:rsidRPr="003C7F6D">
        <w:t>more</w:t>
      </w:r>
      <w:r w:rsidR="002514B0">
        <w:t xml:space="preserve"> </w:t>
      </w:r>
      <w:r w:rsidRPr="003C7F6D">
        <w:t>economic</w:t>
      </w:r>
      <w:r w:rsidR="002514B0">
        <w:t xml:space="preserve"> </w:t>
      </w:r>
      <w:r w:rsidRPr="003C7F6D">
        <w:t>value</w:t>
      </w:r>
      <w:r w:rsidR="002514B0">
        <w:t xml:space="preserve"> </w:t>
      </w:r>
      <w:r w:rsidRPr="003C7F6D">
        <w:t>to</w:t>
      </w:r>
      <w:r w:rsidR="002514B0">
        <w:t xml:space="preserve"> </w:t>
      </w:r>
      <w:r w:rsidRPr="003C7F6D">
        <w:t>the</w:t>
      </w:r>
      <w:r w:rsidR="002514B0">
        <w:t xml:space="preserve"> </w:t>
      </w:r>
      <w:r w:rsidRPr="003C7F6D">
        <w:t>grid</w:t>
      </w:r>
      <w:r w:rsidR="002514B0">
        <w:t xml:space="preserve"> </w:t>
      </w:r>
      <w:r w:rsidRPr="003C7F6D">
        <w:t>if</w:t>
      </w:r>
      <w:r w:rsidR="002514B0">
        <w:t xml:space="preserve"> </w:t>
      </w:r>
      <w:r w:rsidRPr="003C7F6D">
        <w:t>installed</w:t>
      </w:r>
      <w:r w:rsidR="002514B0">
        <w:t xml:space="preserve"> </w:t>
      </w:r>
      <w:r w:rsidRPr="003C7F6D">
        <w:t>on</w:t>
      </w:r>
      <w:r w:rsidR="002514B0">
        <w:t xml:space="preserve"> </w:t>
      </w:r>
      <w:r w:rsidRPr="003C7F6D">
        <w:t>the</w:t>
      </w:r>
      <w:r w:rsidR="002514B0">
        <w:t xml:space="preserve"> </w:t>
      </w:r>
      <w:r w:rsidRPr="003C7F6D">
        <w:t>customers’</w:t>
      </w:r>
      <w:r w:rsidR="002514B0">
        <w:t xml:space="preserve"> </w:t>
      </w:r>
      <w:r w:rsidRPr="003C7F6D">
        <w:t>side</w:t>
      </w:r>
      <w:r w:rsidR="002514B0">
        <w:t xml:space="preserve"> </w:t>
      </w:r>
      <w:r w:rsidRPr="003C7F6D">
        <w:t>of</w:t>
      </w:r>
      <w:r w:rsidR="002514B0">
        <w:t xml:space="preserve"> </w:t>
      </w:r>
      <w:r w:rsidRPr="003C7F6D">
        <w:t>the</w:t>
      </w:r>
      <w:r w:rsidR="002514B0">
        <w:t xml:space="preserve"> </w:t>
      </w:r>
      <w:r w:rsidRPr="003C7F6D">
        <w:t>meter</w:t>
      </w:r>
      <w:r w:rsidR="002514B0">
        <w:t xml:space="preserve"> </w:t>
      </w:r>
      <w:r w:rsidRPr="003C7F6D">
        <w:t>and</w:t>
      </w:r>
      <w:r w:rsidR="002514B0">
        <w:t xml:space="preserve"> </w:t>
      </w:r>
      <w:r w:rsidRPr="003C7F6D">
        <w:t>not</w:t>
      </w:r>
      <w:r w:rsidR="002514B0">
        <w:t xml:space="preserve"> </w:t>
      </w:r>
      <w:r w:rsidRPr="003C7F6D">
        <w:t>surprisingly</w:t>
      </w:r>
      <w:r w:rsidR="002514B0">
        <w:t xml:space="preserve"> </w:t>
      </w:r>
      <w:r w:rsidRPr="003C7F6D">
        <w:t>includes</w:t>
      </w:r>
      <w:r w:rsidR="002514B0">
        <w:t xml:space="preserve"> </w:t>
      </w:r>
      <w:r w:rsidRPr="003C7F6D">
        <w:t>variants</w:t>
      </w:r>
      <w:r w:rsidR="002514B0">
        <w:t xml:space="preserve"> </w:t>
      </w:r>
      <w:r w:rsidRPr="003C7F6D">
        <w:t>that</w:t>
      </w:r>
      <w:r w:rsidR="002514B0">
        <w:t xml:space="preserve"> </w:t>
      </w:r>
      <w:r w:rsidRPr="003C7F6D">
        <w:t>have</w:t>
      </w:r>
      <w:r w:rsidR="002514B0">
        <w:t xml:space="preserve"> </w:t>
      </w:r>
      <w:r w:rsidRPr="003C7F6D">
        <w:t>little</w:t>
      </w:r>
      <w:r w:rsidR="002514B0">
        <w:t xml:space="preserve"> </w:t>
      </w:r>
      <w:r w:rsidRPr="003C7F6D">
        <w:t>to</w:t>
      </w:r>
      <w:r w:rsidR="002514B0">
        <w:t xml:space="preserve"> </w:t>
      </w:r>
      <w:r w:rsidRPr="003C7F6D">
        <w:t>no</w:t>
      </w:r>
      <w:r w:rsidR="002514B0">
        <w:t xml:space="preserve"> </w:t>
      </w:r>
      <w:r w:rsidRPr="003C7F6D">
        <w:t>counterpart</w:t>
      </w:r>
      <w:r w:rsidR="002514B0">
        <w:t xml:space="preserve"> </w:t>
      </w:r>
      <w:r w:rsidRPr="003C7F6D">
        <w:t>on</w:t>
      </w:r>
      <w:r w:rsidR="002514B0">
        <w:t xml:space="preserve"> </w:t>
      </w:r>
      <w:r w:rsidRPr="003C7F6D">
        <w:t>the</w:t>
      </w:r>
      <w:r w:rsidR="002514B0">
        <w:t xml:space="preserve"> </w:t>
      </w:r>
      <w:r w:rsidRPr="003C7F6D">
        <w:t>utility</w:t>
      </w:r>
      <w:r w:rsidR="002514B0">
        <w:t xml:space="preserve"> </w:t>
      </w:r>
      <w:r w:rsidRPr="003C7F6D">
        <w:t>side</w:t>
      </w:r>
      <w:r w:rsidR="002514B0">
        <w:t xml:space="preserve"> </w:t>
      </w:r>
      <w:r w:rsidRPr="003C7F6D">
        <w:t>of</w:t>
      </w:r>
      <w:r w:rsidR="002514B0">
        <w:t xml:space="preserve"> </w:t>
      </w:r>
      <w:r w:rsidRPr="003C7F6D">
        <w:t>the</w:t>
      </w:r>
      <w:r w:rsidR="002514B0">
        <w:t xml:space="preserve"> </w:t>
      </w:r>
      <w:r w:rsidRPr="003C7F6D">
        <w:t>meter,</w:t>
      </w:r>
      <w:r w:rsidR="002514B0">
        <w:t xml:space="preserve"> </w:t>
      </w:r>
      <w:r w:rsidRPr="003C7F6D">
        <w:t>including</w:t>
      </w:r>
      <w:r w:rsidR="002514B0">
        <w:t xml:space="preserve"> </w:t>
      </w:r>
      <w:r w:rsidRPr="003C7F6D">
        <w:t>thermal</w:t>
      </w:r>
      <w:r w:rsidR="002514B0">
        <w:t xml:space="preserve"> </w:t>
      </w:r>
      <w:r w:rsidRPr="003C7F6D">
        <w:t>storage,</w:t>
      </w:r>
      <w:r w:rsidR="002514B0">
        <w:t xml:space="preserve"> </w:t>
      </w:r>
      <w:r w:rsidRPr="003C7F6D">
        <w:t>energy</w:t>
      </w:r>
      <w:r w:rsidR="002514B0">
        <w:t xml:space="preserve"> </w:t>
      </w:r>
      <w:r w:rsidRPr="003C7F6D">
        <w:t>efficiency,</w:t>
      </w:r>
      <w:r w:rsidR="002514B0">
        <w:t xml:space="preserve"> </w:t>
      </w:r>
      <w:r w:rsidRPr="003C7F6D">
        <w:t>electric</w:t>
      </w:r>
      <w:r w:rsidR="002514B0">
        <w:t xml:space="preserve"> </w:t>
      </w:r>
      <w:r w:rsidRPr="003C7F6D">
        <w:t>vehicles,</w:t>
      </w:r>
      <w:r w:rsidR="002514B0">
        <w:t xml:space="preserve"> </w:t>
      </w:r>
      <w:r w:rsidRPr="003C7F6D">
        <w:t>etc.</w:t>
      </w:r>
    </w:p>
    <w:p w14:paraId="06B70C80" w14:textId="00BA7595" w:rsidR="004D324B" w:rsidRPr="003C7F6D" w:rsidRDefault="004D324B" w:rsidP="004D324B">
      <w:pPr>
        <w:pStyle w:val="Heading2"/>
      </w:pPr>
      <w:bookmarkStart w:id="148" w:name="_Toc16090436"/>
      <w:bookmarkStart w:id="149" w:name="_Toc16165419"/>
      <w:bookmarkStart w:id="150" w:name="_Toc16317755"/>
      <w:bookmarkStart w:id="151" w:name="_Toc16254919"/>
      <w:r w:rsidRPr="003C7F6D">
        <w:t>Before</w:t>
      </w:r>
      <w:r w:rsidR="002514B0">
        <w:t xml:space="preserve"> </w:t>
      </w:r>
      <w:r w:rsidRPr="003C7F6D">
        <w:t>CLEP,</w:t>
      </w:r>
      <w:r w:rsidR="002514B0">
        <w:t xml:space="preserve"> </w:t>
      </w:r>
      <w:r w:rsidRPr="003C7F6D">
        <w:t>there</w:t>
      </w:r>
      <w:r w:rsidR="002514B0">
        <w:t xml:space="preserve"> </w:t>
      </w:r>
      <w:r w:rsidRPr="003C7F6D">
        <w:t>was</w:t>
      </w:r>
      <w:r w:rsidR="002514B0">
        <w:t xml:space="preserve"> </w:t>
      </w:r>
      <w:r w:rsidRPr="003C7F6D">
        <w:t>no</w:t>
      </w:r>
      <w:r w:rsidR="002514B0">
        <w:t xml:space="preserve"> </w:t>
      </w:r>
      <w:r w:rsidRPr="003C7F6D">
        <w:t>means</w:t>
      </w:r>
      <w:r w:rsidR="002514B0">
        <w:t xml:space="preserve"> </w:t>
      </w:r>
      <w:r w:rsidRPr="003C7F6D">
        <w:t>to</w:t>
      </w:r>
      <w:r w:rsidR="002514B0">
        <w:t xml:space="preserve"> </w:t>
      </w:r>
      <w:r w:rsidRPr="003C7F6D">
        <w:t>finance</w:t>
      </w:r>
      <w:r w:rsidR="002514B0">
        <w:t xml:space="preserve"> </w:t>
      </w:r>
      <w:r w:rsidRPr="003C7F6D">
        <w:t>most</w:t>
      </w:r>
      <w:r w:rsidR="002514B0">
        <w:t xml:space="preserve"> </w:t>
      </w:r>
      <w:r w:rsidRPr="003C7F6D">
        <w:t>forms</w:t>
      </w:r>
      <w:r w:rsidR="002514B0">
        <w:t xml:space="preserve"> </w:t>
      </w:r>
      <w:r w:rsidRPr="003C7F6D">
        <w:t>of</w:t>
      </w:r>
      <w:r w:rsidR="002514B0">
        <w:t xml:space="preserve"> </w:t>
      </w:r>
      <w:r w:rsidRPr="003C7F6D">
        <w:t>DER;</w:t>
      </w:r>
      <w:bookmarkEnd w:id="148"/>
      <w:bookmarkEnd w:id="149"/>
      <w:bookmarkEnd w:id="150"/>
      <w:bookmarkEnd w:id="151"/>
      <w:r w:rsidR="002514B0">
        <w:t xml:space="preserve"> </w:t>
      </w:r>
    </w:p>
    <w:p w14:paraId="3767392E" w14:textId="367F0F23" w:rsidR="004D324B" w:rsidRPr="003C7F6D" w:rsidRDefault="004D324B" w:rsidP="004D324B">
      <w:pPr>
        <w:pStyle w:val="BodyText"/>
      </w:pPr>
      <w:r w:rsidRPr="003C7F6D">
        <w:t>however,</w:t>
      </w:r>
      <w:r w:rsidR="002514B0">
        <w:t xml:space="preserve"> </w:t>
      </w:r>
      <w:hyperlink w:anchor="Table1" w:history="1">
        <w:r w:rsidRPr="00BA74DC">
          <w:rPr>
            <w:rStyle w:val="Hyperlink"/>
          </w:rPr>
          <w:t>now</w:t>
        </w:r>
        <w:r w:rsidR="002514B0" w:rsidRPr="00BA74DC">
          <w:rPr>
            <w:rStyle w:val="Hyperlink"/>
          </w:rPr>
          <w:t xml:space="preserve"> </w:t>
        </w:r>
        <w:r w:rsidRPr="00BA74DC">
          <w:rPr>
            <w:rStyle w:val="Hyperlink"/>
          </w:rPr>
          <w:t>with</w:t>
        </w:r>
        <w:r w:rsidR="002514B0" w:rsidRPr="00BA74DC">
          <w:rPr>
            <w:rStyle w:val="Hyperlink"/>
          </w:rPr>
          <w:t xml:space="preserve"> </w:t>
        </w:r>
        <w:r w:rsidRPr="00BA74DC">
          <w:rPr>
            <w:rStyle w:val="Hyperlink"/>
          </w:rPr>
          <w:t>CLEP,</w:t>
        </w:r>
        <w:r w:rsidR="002514B0" w:rsidRPr="00BA74DC">
          <w:rPr>
            <w:rStyle w:val="Hyperlink"/>
          </w:rPr>
          <w:t xml:space="preserve"> </w:t>
        </w:r>
        <w:r w:rsidRPr="00BA74DC">
          <w:rPr>
            <w:rStyle w:val="Hyperlink"/>
          </w:rPr>
          <w:t>those</w:t>
        </w:r>
        <w:r w:rsidR="002514B0" w:rsidRPr="00BA74DC">
          <w:rPr>
            <w:rStyle w:val="Hyperlink"/>
          </w:rPr>
          <w:t xml:space="preserve"> </w:t>
        </w:r>
        <w:r w:rsidRPr="00BA74DC">
          <w:rPr>
            <w:rStyle w:val="Hyperlink"/>
          </w:rPr>
          <w:t>parts</w:t>
        </w:r>
        <w:r w:rsidR="002514B0" w:rsidRPr="00BA74DC">
          <w:rPr>
            <w:rStyle w:val="Hyperlink"/>
          </w:rPr>
          <w:t xml:space="preserve"> </w:t>
        </w:r>
        <w:r w:rsidRPr="00BA74DC">
          <w:rPr>
            <w:rStyle w:val="Hyperlink"/>
          </w:rPr>
          <w:t>of</w:t>
        </w:r>
        <w:r w:rsidR="002514B0" w:rsidRPr="00BA74DC">
          <w:rPr>
            <w:rStyle w:val="Hyperlink"/>
          </w:rPr>
          <w:t xml:space="preserve"> </w:t>
        </w:r>
        <w:r w:rsidRPr="00BA74DC">
          <w:rPr>
            <w:rStyle w:val="Hyperlink"/>
          </w:rPr>
          <w:t>DER</w:t>
        </w:r>
        <w:r w:rsidR="002514B0" w:rsidRPr="00BA74DC">
          <w:rPr>
            <w:rStyle w:val="Hyperlink"/>
          </w:rPr>
          <w:t xml:space="preserve"> </w:t>
        </w:r>
        <w:r w:rsidRPr="00BA74DC">
          <w:rPr>
            <w:rStyle w:val="Hyperlink"/>
          </w:rPr>
          <w:t>that</w:t>
        </w:r>
        <w:r w:rsidR="002514B0" w:rsidRPr="00BA74DC">
          <w:rPr>
            <w:rStyle w:val="Hyperlink"/>
          </w:rPr>
          <w:t xml:space="preserve"> </w:t>
        </w:r>
        <w:r w:rsidRPr="00BA74DC">
          <w:rPr>
            <w:rStyle w:val="Hyperlink"/>
          </w:rPr>
          <w:t>were</w:t>
        </w:r>
        <w:r w:rsidR="002514B0" w:rsidRPr="00BA74DC">
          <w:rPr>
            <w:rStyle w:val="Hyperlink"/>
          </w:rPr>
          <w:t xml:space="preserve"> </w:t>
        </w:r>
        <w:r w:rsidRPr="00BA74DC">
          <w:rPr>
            <w:rStyle w:val="Hyperlink"/>
          </w:rPr>
          <w:t>financeable</w:t>
        </w:r>
        <w:r w:rsidR="002514B0" w:rsidRPr="00BA74DC">
          <w:rPr>
            <w:rStyle w:val="Hyperlink"/>
          </w:rPr>
          <w:t xml:space="preserve"> </w:t>
        </w:r>
        <w:r w:rsidRPr="00BA74DC">
          <w:rPr>
            <w:rStyle w:val="Hyperlink"/>
          </w:rPr>
          <w:t>before</w:t>
        </w:r>
        <w:r w:rsidR="002514B0" w:rsidRPr="00BA74DC">
          <w:rPr>
            <w:rStyle w:val="Hyperlink"/>
          </w:rPr>
          <w:t xml:space="preserve"> </w:t>
        </w:r>
        <w:r w:rsidRPr="00BA74DC">
          <w:rPr>
            <w:rStyle w:val="Hyperlink"/>
          </w:rPr>
          <w:t>often</w:t>
        </w:r>
        <w:r w:rsidR="002514B0" w:rsidRPr="00BA74DC">
          <w:rPr>
            <w:rStyle w:val="Hyperlink"/>
          </w:rPr>
          <w:t xml:space="preserve"> </w:t>
        </w:r>
        <w:r w:rsidRPr="00BA74DC">
          <w:rPr>
            <w:rStyle w:val="Hyperlink"/>
          </w:rPr>
          <w:t>get</w:t>
        </w:r>
        <w:r w:rsidR="002514B0" w:rsidRPr="00BA74DC">
          <w:rPr>
            <w:rStyle w:val="Hyperlink"/>
          </w:rPr>
          <w:t xml:space="preserve"> </w:t>
        </w:r>
        <w:r w:rsidRPr="00BA74DC">
          <w:rPr>
            <w:rStyle w:val="Hyperlink"/>
          </w:rPr>
          <w:t>twice</w:t>
        </w:r>
        <w:r w:rsidR="002514B0" w:rsidRPr="00BA74DC">
          <w:rPr>
            <w:rStyle w:val="Hyperlink"/>
          </w:rPr>
          <w:t xml:space="preserve"> </w:t>
        </w:r>
        <w:r w:rsidRPr="00BA74DC">
          <w:rPr>
            <w:rStyle w:val="Hyperlink"/>
          </w:rPr>
          <w:t>the</w:t>
        </w:r>
        <w:r w:rsidR="002514B0" w:rsidRPr="00BA74DC">
          <w:rPr>
            <w:rStyle w:val="Hyperlink"/>
          </w:rPr>
          <w:t xml:space="preserve"> </w:t>
        </w:r>
        <w:r w:rsidRPr="00BA74DC">
          <w:rPr>
            <w:rStyle w:val="Hyperlink"/>
          </w:rPr>
          <w:t>cashflows</w:t>
        </w:r>
        <w:r w:rsidR="002514B0" w:rsidRPr="00BA74DC">
          <w:rPr>
            <w:rStyle w:val="Hyperlink"/>
          </w:rPr>
          <w:t xml:space="preserve"> </w:t>
        </w:r>
        <w:r w:rsidRPr="00BA74DC">
          <w:rPr>
            <w:rStyle w:val="Hyperlink"/>
          </w:rPr>
          <w:t>and</w:t>
        </w:r>
        <w:r w:rsidR="002514B0" w:rsidRPr="00BA74DC">
          <w:rPr>
            <w:rStyle w:val="Hyperlink"/>
          </w:rPr>
          <w:t xml:space="preserve"> </w:t>
        </w:r>
        <w:r w:rsidRPr="00BA74DC">
          <w:rPr>
            <w:rStyle w:val="Hyperlink"/>
          </w:rPr>
          <w:t>many</w:t>
        </w:r>
        <w:r w:rsidR="002514B0" w:rsidRPr="00BA74DC">
          <w:rPr>
            <w:rStyle w:val="Hyperlink"/>
          </w:rPr>
          <w:t xml:space="preserve"> </w:t>
        </w:r>
        <w:r w:rsidRPr="00BA74DC">
          <w:rPr>
            <w:rStyle w:val="Hyperlink"/>
          </w:rPr>
          <w:t>that</w:t>
        </w:r>
        <w:r w:rsidR="002514B0" w:rsidRPr="00BA74DC">
          <w:rPr>
            <w:rStyle w:val="Hyperlink"/>
          </w:rPr>
          <w:t xml:space="preserve"> </w:t>
        </w:r>
        <w:r w:rsidRPr="00BA74DC">
          <w:rPr>
            <w:rStyle w:val="Hyperlink"/>
          </w:rPr>
          <w:t>were</w:t>
        </w:r>
        <w:r w:rsidR="002514B0" w:rsidRPr="00BA74DC">
          <w:rPr>
            <w:rStyle w:val="Hyperlink"/>
          </w:rPr>
          <w:t xml:space="preserve"> </w:t>
        </w:r>
        <w:r w:rsidRPr="00BA74DC">
          <w:rPr>
            <w:rStyle w:val="Hyperlink"/>
          </w:rPr>
          <w:t>not</w:t>
        </w:r>
        <w:r w:rsidR="002514B0" w:rsidRPr="00BA74DC">
          <w:rPr>
            <w:rStyle w:val="Hyperlink"/>
          </w:rPr>
          <w:t xml:space="preserve"> </w:t>
        </w:r>
        <w:r w:rsidRPr="00BA74DC">
          <w:rPr>
            <w:rStyle w:val="Hyperlink"/>
          </w:rPr>
          <w:t>financeable</w:t>
        </w:r>
        <w:r w:rsidR="002514B0" w:rsidRPr="00BA74DC">
          <w:rPr>
            <w:rStyle w:val="Hyperlink"/>
          </w:rPr>
          <w:t xml:space="preserve"> </w:t>
        </w:r>
        <w:r w:rsidRPr="00BA74DC">
          <w:rPr>
            <w:rStyle w:val="Hyperlink"/>
          </w:rPr>
          <w:t>before</w:t>
        </w:r>
        <w:r w:rsidR="002514B0" w:rsidRPr="00BA74DC">
          <w:rPr>
            <w:rStyle w:val="Hyperlink"/>
          </w:rPr>
          <w:t xml:space="preserve"> </w:t>
        </w:r>
        <w:r w:rsidRPr="00BA74DC">
          <w:rPr>
            <w:rStyle w:val="Hyperlink"/>
          </w:rPr>
          <w:t>CLEP,</w:t>
        </w:r>
        <w:r w:rsidR="002514B0" w:rsidRPr="00BA74DC">
          <w:rPr>
            <w:rStyle w:val="Hyperlink"/>
          </w:rPr>
          <w:t xml:space="preserve"> </w:t>
        </w:r>
        <w:r w:rsidRPr="00BA74DC">
          <w:rPr>
            <w:rStyle w:val="Hyperlink"/>
          </w:rPr>
          <w:t>can</w:t>
        </w:r>
        <w:r w:rsidR="002514B0" w:rsidRPr="00BA74DC">
          <w:rPr>
            <w:rStyle w:val="Hyperlink"/>
          </w:rPr>
          <w:t xml:space="preserve"> </w:t>
        </w:r>
        <w:r w:rsidRPr="00BA74DC">
          <w:rPr>
            <w:rStyle w:val="Hyperlink"/>
          </w:rPr>
          <w:t>now</w:t>
        </w:r>
        <w:r w:rsidR="002514B0" w:rsidRPr="00BA74DC">
          <w:rPr>
            <w:rStyle w:val="Hyperlink"/>
          </w:rPr>
          <w:t xml:space="preserve"> </w:t>
        </w:r>
        <w:r w:rsidRPr="00BA74DC">
          <w:rPr>
            <w:rStyle w:val="Hyperlink"/>
          </w:rPr>
          <w:t>be</w:t>
        </w:r>
        <w:r w:rsidR="002514B0" w:rsidRPr="00BA74DC">
          <w:rPr>
            <w:rStyle w:val="Hyperlink"/>
          </w:rPr>
          <w:t xml:space="preserve"> </w:t>
        </w:r>
        <w:r w:rsidRPr="00BA74DC">
          <w:rPr>
            <w:rStyle w:val="Hyperlink"/>
          </w:rPr>
          <w:t>adequately</w:t>
        </w:r>
        <w:r w:rsidR="002514B0" w:rsidRPr="00BA74DC">
          <w:rPr>
            <w:rStyle w:val="Hyperlink"/>
          </w:rPr>
          <w:t xml:space="preserve"> </w:t>
        </w:r>
        <w:r w:rsidRPr="00BA74DC">
          <w:rPr>
            <w:rStyle w:val="Hyperlink"/>
          </w:rPr>
          <w:t>financed</w:t>
        </w:r>
        <w:r w:rsidR="002514B0" w:rsidRPr="00BA74DC">
          <w:rPr>
            <w:rStyle w:val="Hyperlink"/>
          </w:rPr>
          <w:t xml:space="preserve"> </w:t>
        </w:r>
        <w:r w:rsidRPr="00BA74DC">
          <w:rPr>
            <w:rStyle w:val="Hyperlink"/>
          </w:rPr>
          <w:t>with</w:t>
        </w:r>
        <w:r w:rsidR="002514B0" w:rsidRPr="00BA74DC">
          <w:rPr>
            <w:rStyle w:val="Hyperlink"/>
          </w:rPr>
          <w:t xml:space="preserve"> </w:t>
        </w:r>
        <w:r w:rsidRPr="00BA74DC">
          <w:rPr>
            <w:rStyle w:val="Hyperlink"/>
          </w:rPr>
          <w:t>CLEP</w:t>
        </w:r>
      </w:hyperlink>
      <w:r w:rsidRPr="003C7F6D">
        <w:t>.</w:t>
      </w:r>
    </w:p>
    <w:p w14:paraId="0E0979C6" w14:textId="245FBD7A" w:rsidR="004D324B" w:rsidRPr="003C7F6D" w:rsidRDefault="004D324B" w:rsidP="004D324B">
      <w:pPr>
        <w:pStyle w:val="BodyText"/>
      </w:pPr>
      <w:bookmarkStart w:id="152" w:name="_Toc16090437"/>
      <w:r w:rsidRPr="003C7F6D">
        <w:t>Balancing</w:t>
      </w:r>
      <w:r w:rsidR="002514B0">
        <w:t xml:space="preserve"> </w:t>
      </w:r>
      <w:r w:rsidRPr="003C7F6D">
        <w:t>supply</w:t>
      </w:r>
      <w:r w:rsidR="002514B0">
        <w:t xml:space="preserve"> </w:t>
      </w:r>
      <w:r w:rsidRPr="003C7F6D">
        <w:t>to</w:t>
      </w:r>
      <w:r w:rsidR="002514B0">
        <w:t xml:space="preserve"> </w:t>
      </w:r>
      <w:r w:rsidRPr="003C7F6D">
        <w:t>meet</w:t>
      </w:r>
      <w:r w:rsidR="002514B0">
        <w:t xml:space="preserve"> </w:t>
      </w:r>
      <w:r w:rsidRPr="003C7F6D">
        <w:t>demand</w:t>
      </w:r>
      <w:r w:rsidR="002514B0">
        <w:t xml:space="preserve"> </w:t>
      </w:r>
      <w:r w:rsidRPr="003C7F6D">
        <w:t>as</w:t>
      </w:r>
      <w:r w:rsidR="002514B0">
        <w:t xml:space="preserve"> </w:t>
      </w:r>
      <w:r w:rsidRPr="003C7F6D">
        <w:t>well</w:t>
      </w:r>
      <w:r w:rsidR="002514B0">
        <w:t xml:space="preserve"> </w:t>
      </w:r>
      <w:r w:rsidRPr="003C7F6D">
        <w:t>as</w:t>
      </w:r>
      <w:r w:rsidR="002514B0">
        <w:t xml:space="preserve"> </w:t>
      </w:r>
      <w:r w:rsidRPr="003C7F6D">
        <w:t>accommodating</w:t>
      </w:r>
      <w:r w:rsidR="002514B0">
        <w:t xml:space="preserve"> </w:t>
      </w:r>
      <w:r w:rsidRPr="003C7F6D">
        <w:t>power</w:t>
      </w:r>
      <w:r w:rsidR="002514B0">
        <w:t xml:space="preserve"> </w:t>
      </w:r>
      <w:r w:rsidRPr="003C7F6D">
        <w:t>outages</w:t>
      </w:r>
      <w:r w:rsidR="002514B0">
        <w:t xml:space="preserve"> </w:t>
      </w:r>
      <w:r w:rsidRPr="003C7F6D">
        <w:t>can</w:t>
      </w:r>
      <w:r w:rsidR="002514B0">
        <w:t xml:space="preserve"> </w:t>
      </w:r>
      <w:r w:rsidRPr="003C7F6D">
        <w:t>be</w:t>
      </w:r>
      <w:r w:rsidR="002514B0">
        <w:t xml:space="preserve"> </w:t>
      </w:r>
      <w:r w:rsidRPr="003C7F6D">
        <w:t>more</w:t>
      </w:r>
      <w:r w:rsidR="002514B0">
        <w:t xml:space="preserve"> </w:t>
      </w:r>
      <w:r w:rsidRPr="003C7F6D">
        <w:t>effectively</w:t>
      </w:r>
      <w:r w:rsidR="002514B0">
        <w:t xml:space="preserve"> </w:t>
      </w:r>
      <w:r w:rsidR="00BA74DC">
        <w:t xml:space="preserve">and cost-effectively </w:t>
      </w:r>
      <w:r w:rsidRPr="003C7F6D">
        <w:t>done</w:t>
      </w:r>
      <w:r w:rsidR="002514B0">
        <w:t xml:space="preserve"> </w:t>
      </w:r>
      <w:r w:rsidRPr="003C7F6D">
        <w:t>with</w:t>
      </w:r>
      <w:r w:rsidR="002514B0">
        <w:t xml:space="preserve"> </w:t>
      </w:r>
      <w:r w:rsidRPr="003C7F6D">
        <w:t>DER</w:t>
      </w:r>
      <w:r w:rsidR="002514B0">
        <w:t xml:space="preserve"> </w:t>
      </w:r>
      <w:r w:rsidRPr="003C7F6D">
        <w:t>than</w:t>
      </w:r>
      <w:r w:rsidR="002514B0">
        <w:t xml:space="preserve"> </w:t>
      </w:r>
      <w:r w:rsidRPr="003C7F6D">
        <w:t>alternative</w:t>
      </w:r>
      <w:r w:rsidR="002514B0">
        <w:t xml:space="preserve"> </w:t>
      </w:r>
      <w:r w:rsidRPr="003C7F6D">
        <w:t>assets</w:t>
      </w:r>
      <w:r w:rsidR="002514B0">
        <w:t xml:space="preserve"> </w:t>
      </w:r>
      <w:r w:rsidRPr="003C7F6D">
        <w:t>traditional</w:t>
      </w:r>
      <w:r>
        <w:t>ly</w:t>
      </w:r>
      <w:r w:rsidR="002514B0">
        <w:t xml:space="preserve"> </w:t>
      </w:r>
      <w:r w:rsidRPr="003C7F6D">
        <w:t>found</w:t>
      </w:r>
      <w:r w:rsidR="002514B0">
        <w:t xml:space="preserve"> </w:t>
      </w:r>
      <w:r w:rsidRPr="003C7F6D">
        <w:t>in</w:t>
      </w:r>
      <w:r w:rsidR="002514B0">
        <w:t xml:space="preserve"> </w:t>
      </w:r>
      <w:r w:rsidRPr="003C7F6D">
        <w:t>utilities.</w:t>
      </w:r>
      <w:bookmarkEnd w:id="152"/>
    </w:p>
    <w:p w14:paraId="1C914F2A" w14:textId="77037FA3" w:rsidR="004D324B" w:rsidRDefault="004D324B" w:rsidP="004D324B">
      <w:pPr>
        <w:pStyle w:val="BodyText"/>
      </w:pPr>
      <w:bookmarkStart w:id="153" w:name="_Toc16090438"/>
      <w:r w:rsidRPr="003C7F6D">
        <w:t>Utilities</w:t>
      </w:r>
      <w:r w:rsidR="002514B0">
        <w:t xml:space="preserve"> </w:t>
      </w:r>
      <w:r w:rsidRPr="003C7F6D">
        <w:t>that</w:t>
      </w:r>
      <w:r w:rsidR="002514B0">
        <w:t xml:space="preserve"> </w:t>
      </w:r>
      <w:r w:rsidRPr="003C7F6D">
        <w:t>ignore</w:t>
      </w:r>
      <w:r w:rsidR="002514B0">
        <w:t xml:space="preserve"> </w:t>
      </w:r>
      <w:r w:rsidRPr="003C7F6D">
        <w:t>these</w:t>
      </w:r>
      <w:r w:rsidR="002514B0">
        <w:t xml:space="preserve"> </w:t>
      </w:r>
      <w:r w:rsidRPr="003C7F6D">
        <w:t>problems</w:t>
      </w:r>
      <w:r w:rsidR="002514B0">
        <w:t xml:space="preserve"> </w:t>
      </w:r>
      <w:r w:rsidRPr="003C7F6D">
        <w:t>are</w:t>
      </w:r>
      <w:r w:rsidR="002514B0">
        <w:t xml:space="preserve"> </w:t>
      </w:r>
      <w:r w:rsidRPr="003C7F6D">
        <w:t>likely</w:t>
      </w:r>
      <w:r w:rsidR="002514B0">
        <w:t xml:space="preserve"> </w:t>
      </w:r>
      <w:r w:rsidRPr="003C7F6D">
        <w:t>to</w:t>
      </w:r>
      <w:r w:rsidR="002514B0">
        <w:t xml:space="preserve"> </w:t>
      </w:r>
      <w:r w:rsidRPr="003C7F6D">
        <w:t>buy</w:t>
      </w:r>
      <w:r w:rsidR="002514B0">
        <w:t xml:space="preserve"> </w:t>
      </w:r>
      <w:r w:rsidRPr="003C7F6D">
        <w:t>more</w:t>
      </w:r>
      <w:r w:rsidR="002514B0">
        <w:t xml:space="preserve"> </w:t>
      </w:r>
      <w:r w:rsidRPr="003C7F6D">
        <w:t>and</w:t>
      </w:r>
      <w:r w:rsidR="002514B0">
        <w:t xml:space="preserve"> </w:t>
      </w:r>
      <w:r w:rsidRPr="003C7F6D">
        <w:t>more</w:t>
      </w:r>
      <w:r w:rsidR="002514B0">
        <w:t xml:space="preserve"> </w:t>
      </w:r>
      <w:r w:rsidRPr="003C7F6D">
        <w:t>assets</w:t>
      </w:r>
      <w:r w:rsidR="002514B0">
        <w:t xml:space="preserve"> </w:t>
      </w:r>
      <w:r w:rsidRPr="003C7F6D">
        <w:t>that</w:t>
      </w:r>
      <w:r w:rsidR="002514B0">
        <w:t xml:space="preserve"> </w:t>
      </w:r>
      <w:r w:rsidRPr="003C7F6D">
        <w:t>will</w:t>
      </w:r>
      <w:r w:rsidR="002514B0">
        <w:t xml:space="preserve"> </w:t>
      </w:r>
      <w:r w:rsidRPr="003C7F6D">
        <w:t>sooner</w:t>
      </w:r>
      <w:r w:rsidR="002514B0">
        <w:t xml:space="preserve"> </w:t>
      </w:r>
      <w:r w:rsidRPr="003C7F6D">
        <w:t>or</w:t>
      </w:r>
      <w:r w:rsidR="002514B0">
        <w:t xml:space="preserve"> </w:t>
      </w:r>
      <w:r w:rsidRPr="003C7F6D">
        <w:t>later</w:t>
      </w:r>
      <w:r w:rsidR="002514B0">
        <w:t xml:space="preserve"> </w:t>
      </w:r>
      <w:r w:rsidRPr="003C7F6D">
        <w:t>become</w:t>
      </w:r>
      <w:r w:rsidR="002514B0">
        <w:t xml:space="preserve"> </w:t>
      </w:r>
      <w:r w:rsidRPr="003C7F6D">
        <w:t>stranded…</w:t>
      </w:r>
      <w:r w:rsidR="002514B0">
        <w:t xml:space="preserve"> </w:t>
      </w:r>
      <w:r w:rsidRPr="003C7F6D">
        <w:t>AND</w:t>
      </w:r>
      <w:r w:rsidR="002514B0">
        <w:t xml:space="preserve"> </w:t>
      </w:r>
      <w:r w:rsidRPr="003C7F6D">
        <w:t>sooner</w:t>
      </w:r>
      <w:r w:rsidR="002514B0">
        <w:t xml:space="preserve"> </w:t>
      </w:r>
      <w:r w:rsidRPr="003C7F6D">
        <w:t>is</w:t>
      </w:r>
      <w:r w:rsidR="002514B0">
        <w:t xml:space="preserve"> </w:t>
      </w:r>
      <w:r w:rsidRPr="003C7F6D">
        <w:t>not</w:t>
      </w:r>
      <w:r w:rsidR="002514B0">
        <w:t xml:space="preserve"> </w:t>
      </w:r>
      <w:r w:rsidRPr="003C7F6D">
        <w:t>unlikely.</w:t>
      </w:r>
      <w:r w:rsidR="002514B0">
        <w:t xml:space="preserve"> </w:t>
      </w:r>
    </w:p>
    <w:p w14:paraId="0D96B482" w14:textId="4FE32E79" w:rsidR="004D324B" w:rsidRDefault="004D324B" w:rsidP="004D324B">
      <w:pPr>
        <w:pStyle w:val="BodyText"/>
      </w:pPr>
      <w:r w:rsidRPr="003C7F6D">
        <w:t>When</w:t>
      </w:r>
      <w:r w:rsidR="002514B0">
        <w:t xml:space="preserve"> </w:t>
      </w:r>
      <w:r w:rsidRPr="003C7F6D">
        <w:t>a</w:t>
      </w:r>
      <w:r w:rsidR="002514B0">
        <w:t xml:space="preserve"> </w:t>
      </w:r>
      <w:r w:rsidRPr="003C7F6D">
        <w:t>stranded</w:t>
      </w:r>
      <w:r w:rsidR="002514B0">
        <w:t xml:space="preserve"> </w:t>
      </w:r>
      <w:r w:rsidRPr="003C7F6D">
        <w:t>asset</w:t>
      </w:r>
      <w:r w:rsidR="002514B0">
        <w:t xml:space="preserve"> </w:t>
      </w:r>
      <w:r w:rsidRPr="003C7F6D">
        <w:t>is</w:t>
      </w:r>
      <w:r w:rsidR="002514B0">
        <w:t xml:space="preserve"> </w:t>
      </w:r>
      <w:r w:rsidRPr="003C7F6D">
        <w:t>not</w:t>
      </w:r>
      <w:r w:rsidR="002514B0">
        <w:t xml:space="preserve"> </w:t>
      </w:r>
      <w:r w:rsidRPr="003C7F6D">
        <w:t>borne</w:t>
      </w:r>
      <w:r w:rsidR="002514B0">
        <w:t xml:space="preserve"> </w:t>
      </w:r>
      <w:r w:rsidRPr="003C7F6D">
        <w:t>by</w:t>
      </w:r>
      <w:r w:rsidR="002514B0">
        <w:t xml:space="preserve"> </w:t>
      </w:r>
      <w:r w:rsidRPr="003C7F6D">
        <w:t>the</w:t>
      </w:r>
      <w:r w:rsidR="002514B0">
        <w:t xml:space="preserve"> </w:t>
      </w:r>
      <w:r>
        <w:t>u</w:t>
      </w:r>
      <w:r w:rsidRPr="003C7F6D">
        <w:t>tility,</w:t>
      </w:r>
      <w:r w:rsidR="002514B0">
        <w:t xml:space="preserve"> </w:t>
      </w:r>
      <w:r w:rsidRPr="003C7F6D">
        <w:t>it</w:t>
      </w:r>
      <w:r w:rsidR="002514B0">
        <w:t xml:space="preserve"> </w:t>
      </w:r>
      <w:r w:rsidRPr="003C7F6D">
        <w:t>is</w:t>
      </w:r>
      <w:r w:rsidR="002514B0">
        <w:t xml:space="preserve"> </w:t>
      </w:r>
      <w:r w:rsidRPr="003C7F6D">
        <w:t>borne</w:t>
      </w:r>
      <w:r w:rsidR="002514B0">
        <w:t xml:space="preserve"> </w:t>
      </w:r>
      <w:r w:rsidRPr="003C7F6D">
        <w:t>by</w:t>
      </w:r>
      <w:r w:rsidR="002514B0">
        <w:t xml:space="preserve"> </w:t>
      </w:r>
      <w:r w:rsidRPr="003C7F6D">
        <w:t>ratepayer</w:t>
      </w:r>
      <w:r>
        <w:t>s</w:t>
      </w:r>
      <w:r w:rsidR="002514B0">
        <w:t xml:space="preserve"> </w:t>
      </w:r>
      <w:r w:rsidRPr="003C7F6D">
        <w:t>who</w:t>
      </w:r>
      <w:r w:rsidR="002514B0">
        <w:t xml:space="preserve"> </w:t>
      </w:r>
      <w:r w:rsidRPr="003C7F6D">
        <w:t>have</w:t>
      </w:r>
      <w:r w:rsidR="002514B0">
        <w:t xml:space="preserve"> </w:t>
      </w:r>
      <w:r w:rsidRPr="003C7F6D">
        <w:t>little</w:t>
      </w:r>
      <w:r w:rsidR="002514B0">
        <w:t xml:space="preserve"> </w:t>
      </w:r>
      <w:r w:rsidRPr="003C7F6D">
        <w:t>ability</w:t>
      </w:r>
      <w:r w:rsidR="002514B0">
        <w:t xml:space="preserve"> </w:t>
      </w:r>
      <w:r w:rsidRPr="003C7F6D">
        <w:t>to</w:t>
      </w:r>
      <w:r w:rsidR="002514B0">
        <w:t xml:space="preserve"> </w:t>
      </w:r>
      <w:r w:rsidRPr="003C7F6D">
        <w:t>pay</w:t>
      </w:r>
      <w:r w:rsidR="002514B0">
        <w:t xml:space="preserve"> </w:t>
      </w:r>
      <w:r w:rsidRPr="003C7F6D">
        <w:t>these</w:t>
      </w:r>
      <w:r w:rsidR="002514B0">
        <w:t xml:space="preserve"> </w:t>
      </w:r>
      <w:r w:rsidRPr="003C7F6D">
        <w:t>costs.</w:t>
      </w:r>
      <w:r w:rsidR="002514B0">
        <w:t xml:space="preserve"> </w:t>
      </w:r>
      <w:bookmarkEnd w:id="153"/>
    </w:p>
    <w:p w14:paraId="597AB6C6" w14:textId="53C2AA36" w:rsidR="00196E41" w:rsidRDefault="00196E41" w:rsidP="004D324B">
      <w:pPr>
        <w:pStyle w:val="BodyText"/>
      </w:pPr>
    </w:p>
    <w:p w14:paraId="6E08C31D" w14:textId="61322625" w:rsidR="00196E41" w:rsidRDefault="00196E41" w:rsidP="004D324B">
      <w:pPr>
        <w:pStyle w:val="BodyText"/>
      </w:pPr>
    </w:p>
    <w:p w14:paraId="5BEE47F6" w14:textId="77777777" w:rsidR="00196E41" w:rsidRPr="003C7F6D" w:rsidRDefault="00196E41" w:rsidP="004D324B">
      <w:pPr>
        <w:pStyle w:val="BodyText"/>
      </w:pPr>
    </w:p>
    <w:p w14:paraId="6997A62E" w14:textId="77777777" w:rsidR="004D324B" w:rsidRPr="003C7F6D" w:rsidRDefault="004D324B" w:rsidP="004D324B">
      <w:pPr>
        <w:rPr>
          <w:rFonts w:asciiTheme="majorHAnsi" w:eastAsiaTheme="majorEastAsia" w:hAnsiTheme="majorHAnsi" w:cstheme="majorBidi"/>
          <w:sz w:val="26"/>
          <w:szCs w:val="26"/>
        </w:rPr>
      </w:pPr>
      <w:r w:rsidRPr="003C7F6D">
        <w:br w:type="page"/>
      </w:r>
    </w:p>
    <w:p w14:paraId="79CF336F" w14:textId="42651137" w:rsidR="004D324B" w:rsidRPr="003C7F6D" w:rsidRDefault="004D324B" w:rsidP="004D324B">
      <w:pPr>
        <w:pStyle w:val="Heading1"/>
      </w:pPr>
      <w:bookmarkStart w:id="154" w:name="_Toc16090439"/>
      <w:bookmarkStart w:id="155" w:name="_Toc16165420"/>
      <w:bookmarkStart w:id="156" w:name="_Toc16317756"/>
      <w:bookmarkStart w:id="157" w:name="_Toc16254920"/>
      <w:r>
        <w:lastRenderedPageBreak/>
        <w:t>Appendix</w:t>
      </w:r>
      <w:r w:rsidR="002514B0">
        <w:t xml:space="preserve"> </w:t>
      </w:r>
      <w:r>
        <w:t>5:</w:t>
      </w:r>
      <w:r w:rsidR="002514B0">
        <w:t xml:space="preserve"> </w:t>
      </w:r>
      <w:r w:rsidRPr="003C7F6D">
        <w:t>Other</w:t>
      </w:r>
      <w:r w:rsidR="002514B0">
        <w:t xml:space="preserve"> </w:t>
      </w:r>
      <w:r w:rsidRPr="003C7F6D">
        <w:t>issues</w:t>
      </w:r>
      <w:r w:rsidR="002514B0">
        <w:t xml:space="preserve"> </w:t>
      </w:r>
      <w:r w:rsidRPr="003C7F6D">
        <w:t>that</w:t>
      </w:r>
      <w:r w:rsidR="002514B0">
        <w:t xml:space="preserve"> </w:t>
      </w:r>
      <w:r w:rsidRPr="003C7F6D">
        <w:t>can</w:t>
      </w:r>
      <w:r w:rsidR="002514B0">
        <w:t xml:space="preserve"> </w:t>
      </w:r>
      <w:r w:rsidRPr="003C7F6D">
        <w:t>be</w:t>
      </w:r>
      <w:r w:rsidR="002514B0">
        <w:t xml:space="preserve"> </w:t>
      </w:r>
      <w:r w:rsidRPr="003C7F6D">
        <w:t>explored</w:t>
      </w:r>
      <w:r w:rsidR="002514B0">
        <w:t xml:space="preserve"> </w:t>
      </w:r>
      <w:r w:rsidRPr="003C7F6D">
        <w:t>that</w:t>
      </w:r>
      <w:r w:rsidR="002514B0">
        <w:t xml:space="preserve"> </w:t>
      </w:r>
      <w:r w:rsidRPr="003C7F6D">
        <w:t>have</w:t>
      </w:r>
      <w:r w:rsidR="002514B0">
        <w:t xml:space="preserve"> </w:t>
      </w:r>
      <w:r w:rsidRPr="003C7F6D">
        <w:t>practical</w:t>
      </w:r>
      <w:r w:rsidR="002514B0">
        <w:t xml:space="preserve"> </w:t>
      </w:r>
      <w:r w:rsidRPr="003C7F6D">
        <w:t>consequences</w:t>
      </w:r>
      <w:bookmarkEnd w:id="154"/>
      <w:bookmarkEnd w:id="155"/>
      <w:bookmarkEnd w:id="156"/>
      <w:bookmarkEnd w:id="157"/>
    </w:p>
    <w:p w14:paraId="1CF52BC7" w14:textId="27B20D60" w:rsidR="004D324B" w:rsidRPr="003C7F6D" w:rsidRDefault="004D324B" w:rsidP="004D324B">
      <w:pPr>
        <w:pStyle w:val="Heading2"/>
      </w:pPr>
      <w:bookmarkStart w:id="158" w:name="_Toc16090442"/>
      <w:bookmarkStart w:id="159" w:name="_Toc16165421"/>
      <w:bookmarkStart w:id="160" w:name="_Toc16317757"/>
      <w:bookmarkStart w:id="161" w:name="_Toc16254921"/>
      <w:r w:rsidRPr="003C7F6D">
        <w:t>An</w:t>
      </w:r>
      <w:r w:rsidR="002514B0">
        <w:t xml:space="preserve"> </w:t>
      </w:r>
      <w:r w:rsidRPr="003C7F6D">
        <w:t>asset</w:t>
      </w:r>
      <w:r w:rsidR="002514B0">
        <w:t xml:space="preserve"> </w:t>
      </w:r>
      <w:r w:rsidRPr="003C7F6D">
        <w:t>that</w:t>
      </w:r>
      <w:r w:rsidR="002514B0">
        <w:t xml:space="preserve"> </w:t>
      </w:r>
      <w:r w:rsidRPr="003C7F6D">
        <w:t>has</w:t>
      </w:r>
      <w:r w:rsidR="002514B0">
        <w:t xml:space="preserve"> </w:t>
      </w:r>
      <w:r w:rsidRPr="003C7F6D">
        <w:t>both</w:t>
      </w:r>
      <w:r w:rsidR="002514B0">
        <w:t xml:space="preserve"> </w:t>
      </w:r>
      <w:r w:rsidRPr="003C7F6D">
        <w:t>energy</w:t>
      </w:r>
      <w:r w:rsidR="002514B0">
        <w:t xml:space="preserve"> </w:t>
      </w:r>
      <w:r w:rsidRPr="003C7F6D">
        <w:t>saving</w:t>
      </w:r>
      <w:r w:rsidR="002514B0">
        <w:t xml:space="preserve"> </w:t>
      </w:r>
      <w:r w:rsidRPr="003C7F6D">
        <w:t>and</w:t>
      </w:r>
      <w:r w:rsidR="002514B0">
        <w:t xml:space="preserve"> </w:t>
      </w:r>
      <w:r w:rsidRPr="003C7F6D">
        <w:t>capacity</w:t>
      </w:r>
      <w:r w:rsidR="002514B0">
        <w:t xml:space="preserve"> </w:t>
      </w:r>
      <w:r w:rsidRPr="003C7F6D">
        <w:t>benefits</w:t>
      </w:r>
      <w:r w:rsidR="002514B0">
        <w:t xml:space="preserve"> </w:t>
      </w:r>
      <w:r w:rsidRPr="003C7F6D">
        <w:t>can</w:t>
      </w:r>
      <w:r w:rsidR="002514B0">
        <w:t xml:space="preserve"> </w:t>
      </w:r>
      <w:r w:rsidRPr="003C7F6D">
        <w:t>and</w:t>
      </w:r>
      <w:r w:rsidR="002514B0">
        <w:t xml:space="preserve"> </w:t>
      </w:r>
      <w:r w:rsidRPr="003C7F6D">
        <w:t>must</w:t>
      </w:r>
      <w:r w:rsidR="002514B0">
        <w:t xml:space="preserve"> </w:t>
      </w:r>
      <w:r w:rsidRPr="003C7F6D">
        <w:t>be</w:t>
      </w:r>
      <w:r w:rsidR="002514B0">
        <w:t xml:space="preserve"> </w:t>
      </w:r>
      <w:r w:rsidRPr="003C7F6D">
        <w:t>analyzed</w:t>
      </w:r>
      <w:r w:rsidR="002514B0">
        <w:t xml:space="preserve"> </w:t>
      </w:r>
      <w:r w:rsidRPr="003C7F6D">
        <w:t>from</w:t>
      </w:r>
      <w:r w:rsidR="002514B0">
        <w:t xml:space="preserve"> </w:t>
      </w:r>
      <w:r>
        <w:t>both</w:t>
      </w:r>
      <w:r w:rsidR="002514B0">
        <w:t xml:space="preserve"> </w:t>
      </w:r>
      <w:r w:rsidRPr="003C7F6D">
        <w:t>the</w:t>
      </w:r>
      <w:r w:rsidR="002514B0">
        <w:t xml:space="preserve"> </w:t>
      </w:r>
      <w:r w:rsidRPr="003C7F6D">
        <w:t>Utility’s</w:t>
      </w:r>
      <w:r w:rsidR="002514B0">
        <w:t xml:space="preserve"> </w:t>
      </w:r>
      <w:r w:rsidRPr="003C7F6D">
        <w:t>and</w:t>
      </w:r>
      <w:r w:rsidR="002514B0">
        <w:t xml:space="preserve"> </w:t>
      </w:r>
      <w:r w:rsidRPr="003C7F6D">
        <w:t>Customer’s</w:t>
      </w:r>
      <w:r w:rsidR="002514B0">
        <w:t xml:space="preserve"> </w:t>
      </w:r>
      <w:r w:rsidRPr="003C7F6D">
        <w:t>perspective.</w:t>
      </w:r>
      <w:bookmarkEnd w:id="158"/>
      <w:bookmarkEnd w:id="159"/>
      <w:bookmarkEnd w:id="160"/>
      <w:bookmarkEnd w:id="161"/>
      <w:r w:rsidR="002514B0">
        <w:t xml:space="preserve"> </w:t>
      </w:r>
    </w:p>
    <w:p w14:paraId="049D2DEA" w14:textId="7818449D" w:rsidR="004D324B" w:rsidRPr="003C7F6D" w:rsidRDefault="004D324B" w:rsidP="004D324B">
      <w:pPr>
        <w:pStyle w:val="BodyText"/>
      </w:pPr>
      <w:r w:rsidRPr="003C7F6D">
        <w:t>How</w:t>
      </w:r>
      <w:r w:rsidR="002514B0">
        <w:t xml:space="preserve"> </w:t>
      </w:r>
      <w:r w:rsidRPr="003C7F6D">
        <w:t>or</w:t>
      </w:r>
      <w:r w:rsidR="002514B0">
        <w:t xml:space="preserve"> </w:t>
      </w:r>
      <w:r w:rsidRPr="003C7F6D">
        <w:t>why</w:t>
      </w:r>
      <w:r w:rsidR="002514B0">
        <w:t xml:space="preserve"> </w:t>
      </w:r>
      <w:r w:rsidRPr="003C7F6D">
        <w:t>does</w:t>
      </w:r>
      <w:r w:rsidR="002514B0">
        <w:t xml:space="preserve"> </w:t>
      </w:r>
      <w:r w:rsidRPr="003C7F6D">
        <w:t>the</w:t>
      </w:r>
      <w:r w:rsidR="002514B0">
        <w:t xml:space="preserve"> </w:t>
      </w:r>
      <w:r w:rsidRPr="003C7F6D">
        <w:t>Grand</w:t>
      </w:r>
      <w:r w:rsidR="002514B0">
        <w:t xml:space="preserve"> </w:t>
      </w:r>
      <w:r w:rsidRPr="003C7F6D">
        <w:t>Gulf</w:t>
      </w:r>
      <w:r w:rsidR="002514B0">
        <w:t xml:space="preserve"> </w:t>
      </w:r>
      <w:r w:rsidRPr="003C7F6D">
        <w:t>(GG)</w:t>
      </w:r>
      <w:r w:rsidR="002514B0">
        <w:t xml:space="preserve"> </w:t>
      </w:r>
      <w:r w:rsidRPr="003C7F6D">
        <w:t>part</w:t>
      </w:r>
      <w:r w:rsidR="002514B0">
        <w:t xml:space="preserve"> </w:t>
      </w:r>
      <w:r w:rsidRPr="003C7F6D">
        <w:t>of</w:t>
      </w:r>
      <w:r w:rsidR="002514B0">
        <w:t xml:space="preserve"> </w:t>
      </w:r>
      <w:r w:rsidRPr="003C7F6D">
        <w:t>the</w:t>
      </w:r>
      <w:r w:rsidR="002514B0">
        <w:t xml:space="preserve"> </w:t>
      </w:r>
      <w:r w:rsidRPr="003C7F6D">
        <w:t>FAC</w:t>
      </w:r>
      <w:r w:rsidR="002514B0">
        <w:t xml:space="preserve"> </w:t>
      </w:r>
      <w:r w:rsidRPr="003C7F6D">
        <w:t>rider</w:t>
      </w:r>
      <w:r w:rsidR="002514B0">
        <w:t xml:space="preserve"> </w:t>
      </w:r>
      <w:r w:rsidRPr="003C7F6D">
        <w:t>sort</w:t>
      </w:r>
      <w:r w:rsidR="002514B0">
        <w:t xml:space="preserve"> </w:t>
      </w:r>
      <w:r w:rsidRPr="003C7F6D">
        <w:t>of</w:t>
      </w:r>
      <w:r w:rsidR="002514B0">
        <w:t xml:space="preserve"> </w:t>
      </w:r>
      <w:r w:rsidRPr="003C7F6D">
        <w:t>belong</w:t>
      </w:r>
      <w:r w:rsidR="002514B0">
        <w:t xml:space="preserve"> </w:t>
      </w:r>
      <w:r w:rsidRPr="003C7F6D">
        <w:t>in</w:t>
      </w:r>
      <w:r w:rsidR="002514B0">
        <w:t xml:space="preserve"> </w:t>
      </w:r>
      <w:r w:rsidRPr="003C7F6D">
        <w:t>a</w:t>
      </w:r>
      <w:r w:rsidR="002514B0">
        <w:t xml:space="preserve"> </w:t>
      </w:r>
      <w:r w:rsidRPr="003C7F6D">
        <w:t>hybrid</w:t>
      </w:r>
      <w:r w:rsidR="002514B0">
        <w:t xml:space="preserve"> </w:t>
      </w:r>
      <w:r w:rsidRPr="003C7F6D">
        <w:t>FAC/</w:t>
      </w:r>
      <w:r w:rsidR="002514B0">
        <w:t xml:space="preserve"> </w:t>
      </w:r>
      <w:r w:rsidRPr="003C7F6D">
        <w:t>Cost-of-Energy</w:t>
      </w:r>
      <w:r w:rsidR="002514B0">
        <w:t xml:space="preserve"> </w:t>
      </w:r>
      <w:r w:rsidRPr="003C7F6D">
        <w:t>rider?</w:t>
      </w:r>
      <w:r w:rsidR="002514B0">
        <w:t xml:space="preserve"> </w:t>
      </w:r>
    </w:p>
    <w:p w14:paraId="1CF71B77" w14:textId="4D8D6B9A" w:rsidR="004D324B" w:rsidRPr="003C7F6D" w:rsidRDefault="004D324B" w:rsidP="004D324B">
      <w:pPr>
        <w:pStyle w:val="BodyText"/>
      </w:pPr>
      <w:r w:rsidRPr="003C7F6D">
        <w:t>How</w:t>
      </w:r>
      <w:r w:rsidR="002514B0">
        <w:t xml:space="preserve"> </w:t>
      </w:r>
      <w:r w:rsidRPr="003C7F6D">
        <w:t>does</w:t>
      </w:r>
      <w:r w:rsidR="002514B0">
        <w:t xml:space="preserve"> </w:t>
      </w:r>
      <w:r w:rsidRPr="003C7F6D">
        <w:t>Los</w:t>
      </w:r>
      <w:r w:rsidR="002514B0">
        <w:t xml:space="preserve"> </w:t>
      </w:r>
      <w:r w:rsidRPr="003C7F6D">
        <w:t>Angeles</w:t>
      </w:r>
      <w:r w:rsidR="002514B0">
        <w:t xml:space="preserve"> </w:t>
      </w:r>
      <w:r w:rsidRPr="003C7F6D">
        <w:t>Municipal</w:t>
      </w:r>
      <w:r w:rsidR="002514B0">
        <w:t xml:space="preserve"> </w:t>
      </w:r>
      <w:r w:rsidRPr="003C7F6D">
        <w:t>Utility’s</w:t>
      </w:r>
      <w:r w:rsidR="002514B0">
        <w:t xml:space="preserve"> </w:t>
      </w:r>
      <w:r w:rsidRPr="003C7F6D">
        <w:t>recent</w:t>
      </w:r>
      <w:r w:rsidR="002514B0">
        <w:t xml:space="preserve"> </w:t>
      </w:r>
      <w:r w:rsidRPr="003C7F6D">
        <w:t>purchase</w:t>
      </w:r>
      <w:r w:rsidR="002514B0">
        <w:t xml:space="preserve"> </w:t>
      </w:r>
      <w:r w:rsidRPr="003C7F6D">
        <w:t>power</w:t>
      </w:r>
      <w:r w:rsidR="002514B0">
        <w:t xml:space="preserve"> </w:t>
      </w:r>
      <w:r w:rsidRPr="003C7F6D">
        <w:t>agreement</w:t>
      </w:r>
      <w:r w:rsidR="002514B0">
        <w:t xml:space="preserve"> </w:t>
      </w:r>
      <w:r w:rsidRPr="003C7F6D">
        <w:t>to</w:t>
      </w:r>
      <w:r w:rsidR="002514B0">
        <w:t xml:space="preserve"> </w:t>
      </w:r>
      <w:r w:rsidRPr="003C7F6D">
        <w:t>buy</w:t>
      </w:r>
      <w:r w:rsidR="002514B0">
        <w:t xml:space="preserve"> </w:t>
      </w:r>
      <w:r w:rsidRPr="003C7F6D">
        <w:t>a</w:t>
      </w:r>
      <w:r w:rsidR="002514B0">
        <w:t xml:space="preserve"> </w:t>
      </w:r>
      <w:r w:rsidRPr="003C7F6D">
        <w:t>hybrid</w:t>
      </w:r>
      <w:r w:rsidR="002514B0">
        <w:t xml:space="preserve"> </w:t>
      </w:r>
      <w:r w:rsidRPr="003C7F6D">
        <w:t>solar</w:t>
      </w:r>
      <w:r w:rsidR="002514B0">
        <w:t xml:space="preserve"> </w:t>
      </w:r>
      <w:r w:rsidRPr="003C7F6D">
        <w:t>array</w:t>
      </w:r>
      <w:r w:rsidR="002514B0">
        <w:t xml:space="preserve"> </w:t>
      </w:r>
      <w:r w:rsidRPr="003C7F6D">
        <w:t>with</w:t>
      </w:r>
      <w:r w:rsidR="002514B0">
        <w:t xml:space="preserve"> </w:t>
      </w:r>
      <w:r w:rsidRPr="003C7F6D">
        <w:t>batteries</w:t>
      </w:r>
      <w:r w:rsidR="002514B0">
        <w:t xml:space="preserve"> </w:t>
      </w:r>
      <w:r w:rsidRPr="003C7F6D">
        <w:t>fit</w:t>
      </w:r>
      <w:r w:rsidR="002514B0">
        <w:t xml:space="preserve"> </w:t>
      </w:r>
      <w:r w:rsidRPr="003C7F6D">
        <w:t>into</w:t>
      </w:r>
      <w:r w:rsidR="002514B0">
        <w:t xml:space="preserve"> </w:t>
      </w:r>
      <w:r w:rsidRPr="003C7F6D">
        <w:t>the</w:t>
      </w:r>
      <w:r w:rsidR="002514B0">
        <w:t xml:space="preserve"> </w:t>
      </w:r>
      <w:r w:rsidRPr="003C7F6D">
        <w:t>same</w:t>
      </w:r>
      <w:r w:rsidR="002514B0">
        <w:t xml:space="preserve"> </w:t>
      </w:r>
      <w:r w:rsidRPr="003C7F6D">
        <w:t>dilemma</w:t>
      </w:r>
      <w:r w:rsidR="002514B0">
        <w:t xml:space="preserve"> </w:t>
      </w:r>
      <w:r w:rsidRPr="003C7F6D">
        <w:t>used</w:t>
      </w:r>
      <w:r w:rsidR="002514B0">
        <w:t xml:space="preserve"> </w:t>
      </w:r>
      <w:r w:rsidRPr="003C7F6D">
        <w:t>to</w:t>
      </w:r>
      <w:r w:rsidR="002514B0">
        <w:t xml:space="preserve"> </w:t>
      </w:r>
      <w:r w:rsidRPr="003C7F6D">
        <w:t>treat</w:t>
      </w:r>
      <w:r w:rsidR="002514B0">
        <w:t xml:space="preserve"> </w:t>
      </w:r>
      <w:r w:rsidRPr="003C7F6D">
        <w:t>GG?</w:t>
      </w:r>
    </w:p>
    <w:p w14:paraId="4EE55336" w14:textId="4586A932" w:rsidR="004D324B" w:rsidRPr="003C7F6D" w:rsidRDefault="004D324B" w:rsidP="004D324B">
      <w:pPr>
        <w:pStyle w:val="BodyText"/>
      </w:pPr>
      <w:r w:rsidRPr="003C7F6D">
        <w:t>Utilities</w:t>
      </w:r>
      <w:r w:rsidR="002514B0">
        <w:t xml:space="preserve"> </w:t>
      </w:r>
      <w:r w:rsidRPr="003C7F6D">
        <w:t>spurn</w:t>
      </w:r>
      <w:r w:rsidR="002514B0">
        <w:t xml:space="preserve"> </w:t>
      </w:r>
      <w:r w:rsidRPr="003C7F6D">
        <w:t>Net</w:t>
      </w:r>
      <w:r w:rsidR="002514B0">
        <w:t xml:space="preserve"> </w:t>
      </w:r>
      <w:r w:rsidRPr="003C7F6D">
        <w:t>Energy</w:t>
      </w:r>
      <w:r w:rsidR="002514B0">
        <w:t xml:space="preserve"> </w:t>
      </w:r>
      <w:r w:rsidRPr="003C7F6D">
        <w:t>Metering</w:t>
      </w:r>
      <w:r w:rsidR="002514B0">
        <w:t xml:space="preserve"> </w:t>
      </w:r>
      <w:r w:rsidRPr="003C7F6D">
        <w:t>(NEM),</w:t>
      </w:r>
      <w:r w:rsidR="002514B0">
        <w:t xml:space="preserve"> </w:t>
      </w:r>
      <w:r w:rsidRPr="003C7F6D">
        <w:t>because</w:t>
      </w:r>
      <w:r w:rsidR="002514B0">
        <w:t xml:space="preserve"> </w:t>
      </w:r>
      <w:r w:rsidRPr="003C7F6D">
        <w:t>“retail”</w:t>
      </w:r>
      <w:r w:rsidR="002514B0">
        <w:t xml:space="preserve"> </w:t>
      </w:r>
      <w:r w:rsidRPr="003C7F6D">
        <w:t>prices</w:t>
      </w:r>
      <w:r w:rsidR="002514B0">
        <w:t xml:space="preserve"> </w:t>
      </w:r>
      <w:r w:rsidRPr="003C7F6D">
        <w:t>are</w:t>
      </w:r>
      <w:r w:rsidR="002514B0">
        <w:t xml:space="preserve"> </w:t>
      </w:r>
      <w:r w:rsidRPr="003C7F6D">
        <w:t>paid</w:t>
      </w:r>
      <w:r w:rsidR="002514B0">
        <w:t xml:space="preserve"> </w:t>
      </w:r>
      <w:r w:rsidRPr="003C7F6D">
        <w:t>for</w:t>
      </w:r>
      <w:r w:rsidR="002514B0">
        <w:t xml:space="preserve"> </w:t>
      </w:r>
      <w:r w:rsidRPr="003C7F6D">
        <w:t>“wholesale”</w:t>
      </w:r>
      <w:r w:rsidR="002514B0">
        <w:t xml:space="preserve"> </w:t>
      </w:r>
      <w:r w:rsidRPr="003C7F6D">
        <w:t>electricity</w:t>
      </w:r>
      <w:r w:rsidR="002514B0">
        <w:t xml:space="preserve"> </w:t>
      </w:r>
      <w:r w:rsidRPr="003C7F6D">
        <w:t>but</w:t>
      </w:r>
      <w:r w:rsidR="002514B0">
        <w:t xml:space="preserve"> </w:t>
      </w:r>
      <w:r w:rsidRPr="003C7F6D">
        <w:t>when</w:t>
      </w:r>
      <w:r w:rsidR="002514B0">
        <w:t xml:space="preserve"> </w:t>
      </w:r>
      <w:r w:rsidRPr="003C7F6D">
        <w:t>they</w:t>
      </w:r>
      <w:r w:rsidR="002514B0">
        <w:t xml:space="preserve"> </w:t>
      </w:r>
      <w:r w:rsidRPr="003C7F6D">
        <w:t>do</w:t>
      </w:r>
      <w:r w:rsidR="002514B0">
        <w:t xml:space="preserve"> </w:t>
      </w:r>
      <w:r w:rsidRPr="003C7F6D">
        <w:t>that</w:t>
      </w:r>
      <w:r w:rsidR="002514B0">
        <w:t xml:space="preserve"> </w:t>
      </w:r>
      <w:r w:rsidRPr="003C7F6D">
        <w:t>they</w:t>
      </w:r>
      <w:r w:rsidR="002514B0">
        <w:t xml:space="preserve"> </w:t>
      </w:r>
      <w:r w:rsidRPr="003C7F6D">
        <w:t>ignore</w:t>
      </w:r>
      <w:r w:rsidR="002514B0">
        <w:t xml:space="preserve"> </w:t>
      </w:r>
      <w:r w:rsidRPr="003C7F6D">
        <w:t>both</w:t>
      </w:r>
      <w:r w:rsidR="002514B0">
        <w:t xml:space="preserve"> </w:t>
      </w:r>
      <w:r w:rsidRPr="003C7F6D">
        <w:t>i)</w:t>
      </w:r>
      <w:r w:rsidR="002514B0">
        <w:t xml:space="preserve"> </w:t>
      </w:r>
      <w:r w:rsidRPr="003C7F6D">
        <w:t>the</w:t>
      </w:r>
      <w:r w:rsidR="002514B0">
        <w:t xml:space="preserve"> </w:t>
      </w:r>
      <w:r w:rsidRPr="003C7F6D">
        <w:t>fact</w:t>
      </w:r>
      <w:r w:rsidR="002514B0">
        <w:t xml:space="preserve"> </w:t>
      </w:r>
      <w:r w:rsidRPr="003C7F6D">
        <w:t>that</w:t>
      </w:r>
      <w:r w:rsidR="002514B0">
        <w:t xml:space="preserve"> </w:t>
      </w:r>
      <w:r w:rsidRPr="003C7F6D">
        <w:t>sometimes</w:t>
      </w:r>
      <w:r w:rsidR="002514B0">
        <w:t xml:space="preserve"> </w:t>
      </w:r>
      <w:r w:rsidRPr="003C7F6D">
        <w:t>retail</w:t>
      </w:r>
      <w:r w:rsidR="002514B0">
        <w:t xml:space="preserve"> </w:t>
      </w:r>
      <w:r w:rsidRPr="003C7F6D">
        <w:t>prices</w:t>
      </w:r>
      <w:r w:rsidR="002514B0">
        <w:t xml:space="preserve"> </w:t>
      </w:r>
      <w:r w:rsidRPr="003C7F6D">
        <w:t>are</w:t>
      </w:r>
      <w:r w:rsidR="002514B0">
        <w:t xml:space="preserve"> </w:t>
      </w:r>
      <w:r w:rsidRPr="003C7F6D">
        <w:t>lower</w:t>
      </w:r>
      <w:r w:rsidR="002514B0">
        <w:t xml:space="preserve"> </w:t>
      </w:r>
      <w:r w:rsidRPr="003C7F6D">
        <w:t>than</w:t>
      </w:r>
      <w:r w:rsidR="002514B0">
        <w:t xml:space="preserve"> </w:t>
      </w:r>
      <w:r w:rsidRPr="003C7F6D">
        <w:t>wholesale</w:t>
      </w:r>
      <w:r w:rsidR="002514B0">
        <w:t xml:space="preserve"> </w:t>
      </w:r>
      <w:r w:rsidRPr="003C7F6D">
        <w:t>prices,</w:t>
      </w:r>
      <w:r w:rsidR="002514B0">
        <w:t xml:space="preserve"> </w:t>
      </w:r>
      <w:r w:rsidRPr="003C7F6D">
        <w:t>and</w:t>
      </w:r>
      <w:r w:rsidR="002514B0">
        <w:t xml:space="preserve"> </w:t>
      </w:r>
      <w:r w:rsidRPr="003C7F6D">
        <w:t>(ii)</w:t>
      </w:r>
      <w:r w:rsidR="002514B0">
        <w:t xml:space="preserve"> </w:t>
      </w:r>
      <w:r w:rsidRPr="003C7F6D">
        <w:t>the</w:t>
      </w:r>
      <w:r w:rsidR="002514B0">
        <w:t xml:space="preserve"> </w:t>
      </w:r>
      <w:r w:rsidRPr="003C7F6D">
        <w:t>value</w:t>
      </w:r>
      <w:r w:rsidR="002514B0">
        <w:t xml:space="preserve"> </w:t>
      </w:r>
      <w:r w:rsidRPr="003C7F6D">
        <w:t>of</w:t>
      </w:r>
      <w:r w:rsidR="002514B0">
        <w:t xml:space="preserve"> </w:t>
      </w:r>
      <w:r w:rsidRPr="003C7F6D">
        <w:t>avoided</w:t>
      </w:r>
      <w:r w:rsidR="002514B0">
        <w:t xml:space="preserve"> </w:t>
      </w:r>
      <w:r w:rsidRPr="003C7F6D">
        <w:t>demand</w:t>
      </w:r>
      <w:r w:rsidR="002514B0">
        <w:t xml:space="preserve"> </w:t>
      </w:r>
      <w:r w:rsidRPr="003C7F6D">
        <w:t>can</w:t>
      </w:r>
      <w:r w:rsidR="002514B0">
        <w:t xml:space="preserve"> </w:t>
      </w:r>
      <w:r w:rsidRPr="003C7F6D">
        <w:t>more</w:t>
      </w:r>
      <w:r w:rsidR="002514B0">
        <w:t xml:space="preserve"> </w:t>
      </w:r>
      <w:r w:rsidRPr="003C7F6D">
        <w:t>than</w:t>
      </w:r>
      <w:r w:rsidR="002514B0">
        <w:t xml:space="preserve"> </w:t>
      </w:r>
      <w:r w:rsidRPr="003C7F6D">
        <w:t>compensate</w:t>
      </w:r>
      <w:r w:rsidR="002514B0">
        <w:t xml:space="preserve"> </w:t>
      </w:r>
      <w:r w:rsidRPr="003C7F6D">
        <w:t>for</w:t>
      </w:r>
      <w:r w:rsidR="002514B0">
        <w:t xml:space="preserve"> </w:t>
      </w:r>
      <w:r w:rsidRPr="003C7F6D">
        <w:t>the</w:t>
      </w:r>
      <w:r w:rsidR="002514B0">
        <w:t xml:space="preserve"> </w:t>
      </w:r>
      <w:r w:rsidRPr="003C7F6D">
        <w:t>deficiency</w:t>
      </w:r>
      <w:r w:rsidR="002514B0">
        <w:t xml:space="preserve"> </w:t>
      </w:r>
      <w:r w:rsidRPr="003C7F6D">
        <w:t>of</w:t>
      </w:r>
      <w:r w:rsidR="002514B0">
        <w:t xml:space="preserve"> </w:t>
      </w:r>
      <w:r w:rsidRPr="003C7F6D">
        <w:t>wholesale</w:t>
      </w:r>
      <w:r w:rsidR="002514B0">
        <w:t xml:space="preserve"> </w:t>
      </w:r>
      <w:r w:rsidRPr="003C7F6D">
        <w:t>to</w:t>
      </w:r>
      <w:r w:rsidR="002514B0">
        <w:t xml:space="preserve"> </w:t>
      </w:r>
      <w:r w:rsidRPr="003C7F6D">
        <w:t>retail</w:t>
      </w:r>
      <w:r w:rsidR="002514B0">
        <w:t xml:space="preserve"> </w:t>
      </w:r>
      <w:r w:rsidRPr="003C7F6D">
        <w:t>energy</w:t>
      </w:r>
      <w:r w:rsidR="002514B0">
        <w:t xml:space="preserve"> </w:t>
      </w:r>
      <w:r w:rsidRPr="003C7F6D">
        <w:t>pricing.</w:t>
      </w:r>
      <w:r w:rsidR="002514B0">
        <w:t xml:space="preserve"> </w:t>
      </w:r>
      <w:r w:rsidRPr="003C7F6D">
        <w:t>Thus,</w:t>
      </w:r>
      <w:r w:rsidR="002514B0">
        <w:t xml:space="preserve"> </w:t>
      </w:r>
      <w:r w:rsidRPr="003C7F6D">
        <w:t>a</w:t>
      </w:r>
      <w:r w:rsidR="002514B0">
        <w:t xml:space="preserve"> </w:t>
      </w:r>
      <w:r w:rsidRPr="003C7F6D">
        <w:t>wholesale</w:t>
      </w:r>
      <w:r w:rsidR="002514B0">
        <w:t xml:space="preserve"> </w:t>
      </w:r>
      <w:r w:rsidRPr="003C7F6D">
        <w:t>price</w:t>
      </w:r>
      <w:r w:rsidR="002514B0">
        <w:t xml:space="preserve"> </w:t>
      </w:r>
      <w:r w:rsidRPr="003C7F6D">
        <w:t>from</w:t>
      </w:r>
      <w:r w:rsidR="002514B0">
        <w:t xml:space="preserve"> </w:t>
      </w:r>
      <w:r w:rsidRPr="003C7F6D">
        <w:t>a</w:t>
      </w:r>
      <w:r w:rsidR="002514B0">
        <w:t xml:space="preserve"> </w:t>
      </w:r>
      <w:r w:rsidRPr="003C7F6D">
        <w:t>proposed</w:t>
      </w:r>
      <w:r w:rsidR="002514B0">
        <w:t xml:space="preserve"> </w:t>
      </w:r>
      <w:r w:rsidRPr="003C7F6D">
        <w:t>power</w:t>
      </w:r>
      <w:r w:rsidR="002514B0">
        <w:t xml:space="preserve"> </w:t>
      </w:r>
      <w:r w:rsidRPr="003C7F6D">
        <w:t>purchase</w:t>
      </w:r>
      <w:r w:rsidR="002514B0">
        <w:t xml:space="preserve"> </w:t>
      </w:r>
      <w:r w:rsidRPr="003C7F6D">
        <w:t>acquisition</w:t>
      </w:r>
      <w:r w:rsidR="002514B0">
        <w:t xml:space="preserve"> </w:t>
      </w:r>
      <w:r w:rsidRPr="003C7F6D">
        <w:t>(PPA),</w:t>
      </w:r>
      <w:r w:rsidR="002514B0">
        <w:t xml:space="preserve"> </w:t>
      </w:r>
      <w:r w:rsidRPr="003C7F6D">
        <w:t>which</w:t>
      </w:r>
      <w:r w:rsidR="002514B0">
        <w:t xml:space="preserve"> </w:t>
      </w:r>
      <w:r w:rsidRPr="003C7F6D">
        <w:t>is</w:t>
      </w:r>
      <w:r w:rsidR="002514B0">
        <w:t xml:space="preserve"> </w:t>
      </w:r>
      <w:r w:rsidRPr="003C7F6D">
        <w:t>actually</w:t>
      </w:r>
      <w:r w:rsidR="002514B0">
        <w:t xml:space="preserve"> </w:t>
      </w:r>
      <w:r w:rsidRPr="003C7F6D">
        <w:t>higher</w:t>
      </w:r>
      <w:r w:rsidR="002514B0">
        <w:t xml:space="preserve"> </w:t>
      </w:r>
      <w:r w:rsidRPr="003C7F6D">
        <w:t>than</w:t>
      </w:r>
      <w:r w:rsidR="002514B0">
        <w:t xml:space="preserve"> </w:t>
      </w:r>
      <w:r w:rsidRPr="003C7F6D">
        <w:t>the</w:t>
      </w:r>
      <w:r w:rsidR="002514B0">
        <w:t xml:space="preserve"> </w:t>
      </w:r>
      <w:r w:rsidRPr="003C7F6D">
        <w:t>average</w:t>
      </w:r>
      <w:r w:rsidR="002514B0">
        <w:t xml:space="preserve"> </w:t>
      </w:r>
      <w:r w:rsidRPr="003C7F6D">
        <w:t>cost-of-energy</w:t>
      </w:r>
      <w:r w:rsidR="002514B0">
        <w:t xml:space="preserve"> </w:t>
      </w:r>
      <w:r w:rsidRPr="003C7F6D">
        <w:t>over</w:t>
      </w:r>
      <w:r w:rsidR="002514B0">
        <w:t xml:space="preserve"> </w:t>
      </w:r>
      <w:r w:rsidRPr="003C7F6D">
        <w:t>a</w:t>
      </w:r>
      <w:r w:rsidR="002514B0">
        <w:t xml:space="preserve"> </w:t>
      </w:r>
      <w:r w:rsidRPr="003C7F6D">
        <w:t>year,</w:t>
      </w:r>
      <w:r w:rsidR="002514B0">
        <w:t xml:space="preserve"> </w:t>
      </w:r>
      <w:r w:rsidRPr="003C7F6D">
        <w:t>can</w:t>
      </w:r>
      <w:r w:rsidR="002514B0">
        <w:t xml:space="preserve"> </w:t>
      </w:r>
      <w:r w:rsidRPr="003C7F6D">
        <w:t>still</w:t>
      </w:r>
      <w:r w:rsidR="002514B0">
        <w:t xml:space="preserve"> </w:t>
      </w:r>
      <w:r w:rsidRPr="003C7F6D">
        <w:t>lower</w:t>
      </w:r>
      <w:r w:rsidR="002514B0">
        <w:t xml:space="preserve"> </w:t>
      </w:r>
      <w:r w:rsidRPr="003C7F6D">
        <w:t>utility</w:t>
      </w:r>
      <w:r w:rsidR="002514B0">
        <w:t xml:space="preserve"> </w:t>
      </w:r>
      <w:r w:rsidRPr="003C7F6D">
        <w:t>costs.</w:t>
      </w:r>
      <w:r w:rsidR="002514B0">
        <w:t xml:space="preserve"> </w:t>
      </w:r>
      <w:r w:rsidRPr="003C7F6D">
        <w:t>This</w:t>
      </w:r>
      <w:r w:rsidR="002514B0">
        <w:t xml:space="preserve"> </w:t>
      </w:r>
      <w:r w:rsidRPr="003C7F6D">
        <w:t>same</w:t>
      </w:r>
      <w:r w:rsidR="002514B0">
        <w:t xml:space="preserve"> </w:t>
      </w:r>
      <w:r w:rsidRPr="003C7F6D">
        <w:t>effect</w:t>
      </w:r>
      <w:r w:rsidR="002514B0">
        <w:t xml:space="preserve"> </w:t>
      </w:r>
      <w:r w:rsidRPr="003C7F6D">
        <w:t>can</w:t>
      </w:r>
      <w:r w:rsidR="002514B0">
        <w:t xml:space="preserve"> </w:t>
      </w:r>
      <w:r w:rsidRPr="003C7F6D">
        <w:t>happen</w:t>
      </w:r>
      <w:r w:rsidR="002514B0">
        <w:t xml:space="preserve"> </w:t>
      </w:r>
      <w:r w:rsidRPr="003C7F6D">
        <w:t>without</w:t>
      </w:r>
      <w:r w:rsidR="002514B0">
        <w:t xml:space="preserve"> </w:t>
      </w:r>
      <w:r w:rsidRPr="003C7F6D">
        <w:t>a</w:t>
      </w:r>
      <w:r w:rsidR="002514B0">
        <w:t xml:space="preserve"> </w:t>
      </w:r>
      <w:r w:rsidRPr="003C7F6D">
        <w:t>PPA,</w:t>
      </w:r>
      <w:r w:rsidR="002514B0">
        <w:t xml:space="preserve"> </w:t>
      </w:r>
      <w:r w:rsidRPr="003C7F6D">
        <w:t>but,</w:t>
      </w:r>
      <w:r w:rsidR="002514B0">
        <w:t xml:space="preserve"> </w:t>
      </w:r>
      <w:r w:rsidRPr="003C7F6D">
        <w:t>via</w:t>
      </w:r>
      <w:r w:rsidR="002514B0">
        <w:t xml:space="preserve"> </w:t>
      </w:r>
      <w:r w:rsidRPr="003C7F6D">
        <w:t>CLEP,</w:t>
      </w:r>
      <w:r w:rsidR="002514B0">
        <w:t xml:space="preserve"> </w:t>
      </w:r>
      <w:r w:rsidRPr="003C7F6D">
        <w:t>when</w:t>
      </w:r>
      <w:r w:rsidR="002514B0">
        <w:t xml:space="preserve"> </w:t>
      </w:r>
      <w:r w:rsidRPr="003C7F6D">
        <w:t>a</w:t>
      </w:r>
      <w:r w:rsidR="002514B0">
        <w:t xml:space="preserve"> </w:t>
      </w:r>
      <w:r w:rsidRPr="003C7F6D">
        <w:t>customer</w:t>
      </w:r>
      <w:r w:rsidR="002514B0">
        <w:t xml:space="preserve"> </w:t>
      </w:r>
      <w:r w:rsidRPr="00996655">
        <w:t>shifts</w:t>
      </w:r>
      <w:r w:rsidR="002514B0">
        <w:t xml:space="preserve"> </w:t>
      </w:r>
      <w:r w:rsidRPr="003C7F6D">
        <w:t>demand</w:t>
      </w:r>
      <w:r w:rsidR="002514B0">
        <w:t xml:space="preserve"> </w:t>
      </w:r>
      <w:r w:rsidRPr="003C7F6D">
        <w:t>away</w:t>
      </w:r>
      <w:r w:rsidR="002514B0">
        <w:t xml:space="preserve"> </w:t>
      </w:r>
      <w:r w:rsidRPr="003C7F6D">
        <w:t>from</w:t>
      </w:r>
      <w:r w:rsidR="002514B0">
        <w:t xml:space="preserve"> </w:t>
      </w:r>
      <w:r w:rsidRPr="003C7F6D">
        <w:t>peak</w:t>
      </w:r>
      <w:r w:rsidR="002514B0">
        <w:t xml:space="preserve"> </w:t>
      </w:r>
      <w:r w:rsidRPr="003C7F6D">
        <w:t>times</w:t>
      </w:r>
      <w:r w:rsidR="002514B0">
        <w:t xml:space="preserve"> </w:t>
      </w:r>
      <w:r w:rsidRPr="003C7F6D">
        <w:t>and/or</w:t>
      </w:r>
      <w:r w:rsidR="002514B0">
        <w:t xml:space="preserve"> </w:t>
      </w:r>
      <w:r w:rsidRPr="003C7F6D">
        <w:t>sells</w:t>
      </w:r>
      <w:r w:rsidR="002514B0">
        <w:t xml:space="preserve"> </w:t>
      </w:r>
      <w:r w:rsidRPr="003C7F6D">
        <w:t>previously</w:t>
      </w:r>
      <w:r w:rsidR="002514B0">
        <w:t xml:space="preserve"> </w:t>
      </w:r>
      <w:r w:rsidRPr="003C7F6D">
        <w:t>purchased</w:t>
      </w:r>
      <w:r w:rsidR="002514B0">
        <w:t xml:space="preserve"> </w:t>
      </w:r>
      <w:r w:rsidRPr="003C7F6D">
        <w:t>electricity</w:t>
      </w:r>
      <w:r w:rsidR="002514B0">
        <w:t xml:space="preserve"> </w:t>
      </w:r>
      <w:r w:rsidRPr="003C7F6D">
        <w:t>back</w:t>
      </w:r>
      <w:r w:rsidR="002514B0">
        <w:t xml:space="preserve"> </w:t>
      </w:r>
      <w:r w:rsidRPr="003C7F6D">
        <w:t>to</w:t>
      </w:r>
      <w:r w:rsidR="002514B0">
        <w:t xml:space="preserve"> </w:t>
      </w:r>
      <w:r w:rsidRPr="003C7F6D">
        <w:t>the</w:t>
      </w:r>
      <w:r w:rsidR="002514B0">
        <w:t xml:space="preserve"> </w:t>
      </w:r>
      <w:r w:rsidRPr="003C7F6D">
        <w:t>grid</w:t>
      </w:r>
      <w:r w:rsidR="002514B0">
        <w:t xml:space="preserve"> </w:t>
      </w:r>
      <w:r w:rsidRPr="003C7F6D">
        <w:t>on</w:t>
      </w:r>
      <w:r w:rsidR="002514B0">
        <w:t xml:space="preserve"> </w:t>
      </w:r>
      <w:r w:rsidRPr="003C7F6D">
        <w:t>the</w:t>
      </w:r>
      <w:r w:rsidR="002514B0">
        <w:t xml:space="preserve"> </w:t>
      </w:r>
      <w:r w:rsidRPr="003C7F6D">
        <w:t>same</w:t>
      </w:r>
      <w:r w:rsidR="002514B0">
        <w:t xml:space="preserve"> </w:t>
      </w:r>
      <w:r w:rsidRPr="003C7F6D">
        <w:t>day.</w:t>
      </w:r>
    </w:p>
    <w:p w14:paraId="4EB6142F" w14:textId="56CDE919" w:rsidR="004D324B" w:rsidRDefault="00C4041F" w:rsidP="004D324B">
      <w:pPr>
        <w:pStyle w:val="Heading2"/>
      </w:pPr>
      <w:bookmarkStart w:id="162" w:name="_Toc16090443"/>
      <w:bookmarkStart w:id="163" w:name="_Toc16165422"/>
      <w:bookmarkStart w:id="164" w:name="_Toc16317758"/>
      <w:bookmarkStart w:id="165" w:name="_Toc16254922"/>
      <w:r>
        <w:t>Will a</w:t>
      </w:r>
      <w:r w:rsidR="002514B0">
        <w:t xml:space="preserve"> </w:t>
      </w:r>
      <w:r w:rsidR="004D324B" w:rsidRPr="003C7F6D">
        <w:t>utility</w:t>
      </w:r>
      <w:r w:rsidR="002514B0">
        <w:t xml:space="preserve"> </w:t>
      </w:r>
      <w:r w:rsidR="004D324B" w:rsidRPr="003C7F6D">
        <w:t>benefit</w:t>
      </w:r>
      <w:r w:rsidR="002514B0">
        <w:t xml:space="preserve"> </w:t>
      </w:r>
      <w:r w:rsidR="004D324B" w:rsidRPr="003C7F6D">
        <w:t>by</w:t>
      </w:r>
      <w:r w:rsidR="002514B0">
        <w:t xml:space="preserve"> </w:t>
      </w:r>
      <w:r w:rsidR="004D324B" w:rsidRPr="003C7F6D">
        <w:t>customers’</w:t>
      </w:r>
      <w:r w:rsidR="002514B0">
        <w:t xml:space="preserve"> </w:t>
      </w:r>
      <w:r w:rsidR="004D324B" w:rsidRPr="003C7F6D">
        <w:t>well-orchestrated</w:t>
      </w:r>
      <w:r w:rsidR="002514B0">
        <w:t xml:space="preserve"> </w:t>
      </w:r>
      <w:r w:rsidR="004D324B" w:rsidRPr="003C7F6D">
        <w:t>attempts</w:t>
      </w:r>
      <w:r w:rsidR="002514B0">
        <w:t xml:space="preserve"> </w:t>
      </w:r>
      <w:r w:rsidR="004D324B" w:rsidRPr="003C7F6D">
        <w:t>to</w:t>
      </w:r>
      <w:r w:rsidR="002514B0">
        <w:t xml:space="preserve"> </w:t>
      </w:r>
      <w:r w:rsidR="004D324B" w:rsidRPr="003C7F6D">
        <w:t>lower</w:t>
      </w:r>
      <w:r w:rsidR="002514B0">
        <w:t xml:space="preserve"> </w:t>
      </w:r>
      <w:r w:rsidR="004D324B" w:rsidRPr="003C7F6D">
        <w:t>their</w:t>
      </w:r>
      <w:r w:rsidR="002514B0">
        <w:t xml:space="preserve"> </w:t>
      </w:r>
      <w:r w:rsidR="004D324B" w:rsidRPr="003C7F6D">
        <w:t>energy</w:t>
      </w:r>
      <w:r w:rsidR="002514B0">
        <w:t xml:space="preserve"> </w:t>
      </w:r>
      <w:r w:rsidR="004D324B" w:rsidRPr="003C7F6D">
        <w:t>bills?</w:t>
      </w:r>
      <w:bookmarkEnd w:id="162"/>
      <w:bookmarkEnd w:id="163"/>
      <w:r w:rsidR="00196E41">
        <w:rPr>
          <w:rStyle w:val="FootnoteReference"/>
        </w:rPr>
        <w:footnoteReference w:id="47"/>
      </w:r>
      <w:bookmarkEnd w:id="164"/>
      <w:bookmarkEnd w:id="165"/>
    </w:p>
    <w:p w14:paraId="1357D699" w14:textId="77777777" w:rsidR="00196E41" w:rsidRDefault="004D324B" w:rsidP="004D324B">
      <w:pPr>
        <w:pStyle w:val="Heading2"/>
      </w:pPr>
      <w:bookmarkStart w:id="166" w:name="_Toc16317759"/>
      <w:bookmarkStart w:id="167" w:name="_Toc16254923"/>
      <w:bookmarkStart w:id="168" w:name="_Toc16090444"/>
      <w:bookmarkStart w:id="169" w:name="_Toc16165423"/>
      <w:r w:rsidRPr="003C7F6D">
        <w:t>Will</w:t>
      </w:r>
      <w:r w:rsidR="002514B0">
        <w:t xml:space="preserve"> </w:t>
      </w:r>
      <w:r w:rsidRPr="003C7F6D">
        <w:t>CLEP</w:t>
      </w:r>
      <w:r w:rsidR="002514B0">
        <w:t xml:space="preserve"> </w:t>
      </w:r>
      <w:r w:rsidRPr="003C7F6D">
        <w:t>extinguish</w:t>
      </w:r>
      <w:r w:rsidR="002514B0">
        <w:t xml:space="preserve"> </w:t>
      </w:r>
      <w:r w:rsidRPr="003C7F6D">
        <w:t>itself?</w:t>
      </w:r>
      <w:bookmarkEnd w:id="166"/>
      <w:bookmarkEnd w:id="167"/>
      <w:r w:rsidR="002514B0">
        <w:t xml:space="preserve"> </w:t>
      </w:r>
    </w:p>
    <w:p w14:paraId="0D798DF9" w14:textId="5DA162CA" w:rsidR="004D324B" w:rsidRDefault="004D324B" w:rsidP="004D324B">
      <w:pPr>
        <w:pStyle w:val="Heading2"/>
      </w:pPr>
      <w:bookmarkStart w:id="170" w:name="_Toc16317760"/>
      <w:bookmarkStart w:id="171" w:name="_Toc16254924"/>
      <w:r w:rsidRPr="003C7F6D">
        <w:t>What</w:t>
      </w:r>
      <w:r w:rsidR="002514B0">
        <w:t xml:space="preserve"> </w:t>
      </w:r>
      <w:r w:rsidRPr="003C7F6D">
        <w:t>will</w:t>
      </w:r>
      <w:r w:rsidR="002514B0">
        <w:t xml:space="preserve"> </w:t>
      </w:r>
      <w:r w:rsidRPr="003C7F6D">
        <w:t>the</w:t>
      </w:r>
      <w:r w:rsidR="002514B0">
        <w:t xml:space="preserve"> </w:t>
      </w:r>
      <w:r w:rsidRPr="003C7F6D">
        <w:t>world</w:t>
      </w:r>
      <w:r w:rsidR="002514B0">
        <w:t xml:space="preserve"> </w:t>
      </w:r>
      <w:r w:rsidRPr="003C7F6D">
        <w:t>be</w:t>
      </w:r>
      <w:r w:rsidR="002514B0">
        <w:t xml:space="preserve"> </w:t>
      </w:r>
      <w:r w:rsidRPr="003C7F6D">
        <w:t>like</w:t>
      </w:r>
      <w:r w:rsidR="002514B0">
        <w:t xml:space="preserve"> </w:t>
      </w:r>
      <w:r w:rsidRPr="003C7F6D">
        <w:t>when</w:t>
      </w:r>
      <w:r w:rsidR="002514B0">
        <w:t xml:space="preserve"> </w:t>
      </w:r>
      <w:r w:rsidRPr="003C7F6D">
        <w:t>CLEP</w:t>
      </w:r>
      <w:r w:rsidR="002514B0">
        <w:t xml:space="preserve"> </w:t>
      </w:r>
      <w:r w:rsidRPr="003C7F6D">
        <w:t>is</w:t>
      </w:r>
      <w:r w:rsidR="002514B0">
        <w:t xml:space="preserve"> </w:t>
      </w:r>
      <w:r w:rsidRPr="003C7F6D">
        <w:t>no</w:t>
      </w:r>
      <w:r w:rsidR="002514B0">
        <w:t xml:space="preserve"> </w:t>
      </w:r>
      <w:r w:rsidRPr="003C7F6D">
        <w:t>longer</w:t>
      </w:r>
      <w:r w:rsidR="002514B0">
        <w:t xml:space="preserve"> </w:t>
      </w:r>
      <w:r w:rsidRPr="003C7F6D">
        <w:t>used</w:t>
      </w:r>
      <w:r w:rsidR="002514B0">
        <w:t xml:space="preserve"> </w:t>
      </w:r>
      <w:r w:rsidRPr="003C7F6D">
        <w:t>and</w:t>
      </w:r>
      <w:r w:rsidR="002514B0">
        <w:t xml:space="preserve"> </w:t>
      </w:r>
      <w:r w:rsidRPr="003C7F6D">
        <w:t>useful?</w:t>
      </w:r>
      <w:bookmarkEnd w:id="168"/>
      <w:bookmarkEnd w:id="169"/>
      <w:bookmarkEnd w:id="170"/>
      <w:bookmarkEnd w:id="171"/>
      <w:r w:rsidR="002514B0">
        <w:t xml:space="preserve"> </w:t>
      </w:r>
    </w:p>
    <w:p w14:paraId="6E25652F" w14:textId="0D0CBECC" w:rsidR="004D324B" w:rsidRDefault="004D324B" w:rsidP="004D324B">
      <w:pPr>
        <w:pStyle w:val="Heading2"/>
      </w:pPr>
      <w:bookmarkStart w:id="172" w:name="_Toc16090445"/>
      <w:bookmarkStart w:id="173" w:name="_Toc16165424"/>
      <w:bookmarkStart w:id="174" w:name="_Toc16317761"/>
      <w:bookmarkStart w:id="175" w:name="_Toc16254925"/>
      <w:r w:rsidRPr="003C7F6D">
        <w:t>Can</w:t>
      </w:r>
      <w:r w:rsidR="002514B0">
        <w:t xml:space="preserve"> </w:t>
      </w:r>
      <w:r w:rsidRPr="003C7F6D">
        <w:t>the</w:t>
      </w:r>
      <w:r w:rsidR="002514B0">
        <w:t xml:space="preserve"> </w:t>
      </w:r>
      <w:r w:rsidRPr="003C7F6D">
        <w:t>Earth</w:t>
      </w:r>
      <w:r w:rsidR="002514B0">
        <w:t xml:space="preserve"> </w:t>
      </w:r>
      <w:r w:rsidRPr="003C7F6D">
        <w:t>adequately</w:t>
      </w:r>
      <w:r w:rsidR="002514B0">
        <w:t xml:space="preserve"> </w:t>
      </w:r>
      <w:r w:rsidRPr="003C7F6D">
        <w:t>heal</w:t>
      </w:r>
      <w:r w:rsidR="002514B0">
        <w:t xml:space="preserve"> </w:t>
      </w:r>
      <w:r w:rsidRPr="003C7F6D">
        <w:t>without</w:t>
      </w:r>
      <w:r w:rsidR="002514B0">
        <w:t xml:space="preserve"> </w:t>
      </w:r>
      <w:r w:rsidRPr="003C7F6D">
        <w:t>CLEP?</w:t>
      </w:r>
      <w:bookmarkEnd w:id="172"/>
      <w:bookmarkEnd w:id="173"/>
      <w:bookmarkEnd w:id="174"/>
      <w:bookmarkEnd w:id="175"/>
      <w:r w:rsidR="002514B0">
        <w:t xml:space="preserve"> </w:t>
      </w:r>
    </w:p>
    <w:p w14:paraId="2BA79FA8" w14:textId="6EC5DB4C" w:rsidR="004D324B" w:rsidRDefault="00196E41" w:rsidP="004D324B">
      <w:pPr>
        <w:pStyle w:val="BodyText"/>
      </w:pPr>
      <w:r>
        <w:t>Myron thinks that this is truly unlikely. But for sure CLEP can really help slow down the causes of Global Warming because ratepayers will pursue their self-interests</w:t>
      </w:r>
      <w:r w:rsidR="00C4041F">
        <w:t>.</w:t>
      </w:r>
      <w:r>
        <w:t xml:space="preserve"> That’s all CLEP needs to work.</w:t>
      </w:r>
    </w:p>
    <w:sectPr w:rsidR="004D324B" w:rsidSect="00E0438D">
      <w:footerReference w:type="default" r:id="rId15"/>
      <w:pgSz w:w="12290" w:h="15840"/>
      <w:pgMar w:top="1440" w:right="1080" w:bottom="1440" w:left="1080" w:header="0" w:footer="8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F8FC" w14:textId="77777777" w:rsidR="00663379" w:rsidRDefault="00663379">
      <w:r>
        <w:separator/>
      </w:r>
    </w:p>
  </w:endnote>
  <w:endnote w:type="continuationSeparator" w:id="0">
    <w:p w14:paraId="6B58A08F" w14:textId="77777777" w:rsidR="00663379" w:rsidRDefault="00663379">
      <w:r>
        <w:continuationSeparator/>
      </w:r>
    </w:p>
  </w:endnote>
  <w:endnote w:type="continuationNotice" w:id="1">
    <w:p w14:paraId="28D22906" w14:textId="77777777" w:rsidR="00663379" w:rsidRDefault="0066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6819" w14:textId="77777777" w:rsidR="00EB0A80" w:rsidRDefault="00EB0A80">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056705"/>
      <w:docPartObj>
        <w:docPartGallery w:val="Page Numbers (Bottom of Page)"/>
        <w:docPartUnique/>
      </w:docPartObj>
    </w:sdtPr>
    <w:sdtEndPr>
      <w:rPr>
        <w:noProof/>
      </w:rPr>
    </w:sdtEndPr>
    <w:sdtContent>
      <w:p w14:paraId="160B9C43" w14:textId="77777777" w:rsidR="00EB0A80" w:rsidRDefault="00EB0A80">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14229"/>
      <w:docPartObj>
        <w:docPartGallery w:val="Page Numbers (Bottom of Page)"/>
        <w:docPartUnique/>
      </w:docPartObj>
    </w:sdtPr>
    <w:sdtEndPr>
      <w:rPr>
        <w:noProof/>
      </w:rPr>
    </w:sdtEndPr>
    <w:sdtContent>
      <w:p w14:paraId="2D38CAD7" w14:textId="4C09080A" w:rsidR="00EB0A80" w:rsidRDefault="00EB0A8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C5B09ED" w14:textId="75EA0117" w:rsidR="00EB0A80" w:rsidRDefault="00EB0A80">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9620" w14:textId="77777777" w:rsidR="00663379" w:rsidRDefault="00663379">
      <w:r>
        <w:separator/>
      </w:r>
    </w:p>
  </w:footnote>
  <w:footnote w:type="continuationSeparator" w:id="0">
    <w:p w14:paraId="4A55B0F9" w14:textId="77777777" w:rsidR="00663379" w:rsidRDefault="00663379">
      <w:r>
        <w:continuationSeparator/>
      </w:r>
    </w:p>
  </w:footnote>
  <w:footnote w:type="continuationNotice" w:id="1">
    <w:p w14:paraId="5D8B5560" w14:textId="77777777" w:rsidR="00663379" w:rsidRDefault="00663379"/>
  </w:footnote>
  <w:footnote w:id="2">
    <w:p w14:paraId="38874DAB" w14:textId="7299C75D" w:rsidR="00EB0A80" w:rsidRDefault="00EB0A80" w:rsidP="008419F3">
      <w:pPr>
        <w:pStyle w:val="FootnoteText"/>
      </w:pPr>
      <w:r>
        <w:rPr>
          <w:rStyle w:val="FootnoteReference"/>
        </w:rPr>
        <w:footnoteRef/>
      </w:r>
      <w:r>
        <w:t xml:space="preserve"> </w:t>
      </w:r>
      <w:r>
        <w:rPr>
          <w:color w:val="000000" w:themeColor="text1"/>
        </w:rPr>
        <w:t>T</w:t>
      </w:r>
      <w:r w:rsidRPr="000256CA">
        <w:rPr>
          <w:color w:val="000000" w:themeColor="text1"/>
        </w:rPr>
        <w:t xml:space="preserve">he reader </w:t>
      </w:r>
      <w:r>
        <w:rPr>
          <w:color w:val="000000" w:themeColor="text1"/>
        </w:rPr>
        <w:t>is advised to read the computer version of this document instead of a print-out, in order to avail himself of hyperlinks, found a</w:t>
      </w:r>
      <w:r w:rsidRPr="000256CA">
        <w:rPr>
          <w:color w:val="000000" w:themeColor="text1"/>
        </w:rPr>
        <w:t xml:space="preserve">t all </w:t>
      </w:r>
      <w:r w:rsidRPr="000256CA">
        <w:rPr>
          <w:color w:val="000000" w:themeColor="text1"/>
          <w:u w:val="single"/>
        </w:rPr>
        <w:t>underlined texts</w:t>
      </w:r>
      <w:r>
        <w:rPr>
          <w:color w:val="000000" w:themeColor="text1"/>
          <w:u w:val="single"/>
        </w:rPr>
        <w:t>,</w:t>
      </w:r>
      <w:r w:rsidRPr="000256CA">
        <w:rPr>
          <w:color w:val="000000" w:themeColor="text1"/>
        </w:rPr>
        <w:t xml:space="preserve"> </w:t>
      </w:r>
      <w:r>
        <w:rPr>
          <w:color w:val="000000" w:themeColor="text1"/>
        </w:rPr>
        <w:t xml:space="preserve">and in the table of contents which connect to fuller explanations elsewhere in the document if in Word format use click or CTRL click if in PDF click works. </w:t>
      </w:r>
    </w:p>
  </w:footnote>
  <w:footnote w:id="3">
    <w:p w14:paraId="47715B06" w14:textId="10821EF8" w:rsidR="00EB0A80" w:rsidRDefault="00EB0A80">
      <w:pPr>
        <w:pStyle w:val="FootnoteText"/>
      </w:pPr>
      <w:r>
        <w:rPr>
          <w:rStyle w:val="FootnoteReference"/>
        </w:rPr>
        <w:footnoteRef/>
      </w:r>
      <w:r>
        <w:t xml:space="preserve"> Point 8 of the BSI Initial Post Hearing Brief complements the description of CLEP found in BSI’s Direct Testimony.</w:t>
      </w:r>
    </w:p>
  </w:footnote>
  <w:footnote w:id="4">
    <w:p w14:paraId="56EB8013" w14:textId="3D8F021C" w:rsidR="00EB0A80" w:rsidRDefault="00EB0A80">
      <w:pPr>
        <w:pStyle w:val="FootnoteText"/>
      </w:pPr>
      <w:r>
        <w:rPr>
          <w:rStyle w:val="FootnoteReference"/>
        </w:rPr>
        <w:footnoteRef/>
      </w:r>
      <w:r>
        <w:t xml:space="preserve"> </w:t>
      </w:r>
      <w:hyperlink r:id="rId1" w:history="1">
        <w:r w:rsidRPr="00DC4CFD">
          <w:rPr>
            <w:rStyle w:val="Hyperlink"/>
          </w:rPr>
          <w:t>https://www.BuildingScienceInnovators.com/align-by-design.html</w:t>
        </w:r>
      </w:hyperlink>
    </w:p>
  </w:footnote>
  <w:footnote w:id="5">
    <w:p w14:paraId="66B5E92E" w14:textId="659F5AC6" w:rsidR="00EB0A80" w:rsidRDefault="00EB0A80" w:rsidP="006B42F2">
      <w:pPr>
        <w:pStyle w:val="FootnoteText"/>
      </w:pPr>
      <w:r>
        <w:rPr>
          <w:rStyle w:val="FootnoteReference"/>
        </w:rPr>
        <w:footnoteRef/>
      </w:r>
      <w:r>
        <w:t xml:space="preserve"> For a test-drive read Exhibit 4 within BSI’s Reply to ENO’s 1</w:t>
      </w:r>
      <w:r w:rsidRPr="006B42F2">
        <w:rPr>
          <w:vertAlign w:val="superscript"/>
        </w:rPr>
        <w:t>st</w:t>
      </w:r>
      <w:r>
        <w:t xml:space="preserve"> Interrogatory. However, a full, hands-on experience of CLEP via the Dashboard has been available since the end of March 2019 and can be provided by a Zoom video conference on very short notice and is free to anyone.</w:t>
      </w:r>
    </w:p>
  </w:footnote>
  <w:footnote w:id="6">
    <w:p w14:paraId="46E79101" w14:textId="76206BAF" w:rsidR="00EB0A80" w:rsidRPr="00A37210" w:rsidRDefault="00EB0A80">
      <w:pPr>
        <w:pStyle w:val="FootnoteText"/>
      </w:pPr>
      <w:r>
        <w:rPr>
          <w:rStyle w:val="FootnoteReference"/>
        </w:rPr>
        <w:footnoteRef/>
      </w:r>
      <w:r>
        <w:t xml:space="preserve"> </w:t>
      </w:r>
      <w:hyperlink r:id="rId2" w:history="1">
        <w:r w:rsidRPr="00DC4CFD">
          <w:rPr>
            <w:rStyle w:val="Hyperlink"/>
          </w:rPr>
          <w:t>https://api.MISOenergy.org/MISORTWD/lmpcontourmap.html</w:t>
        </w:r>
      </w:hyperlink>
    </w:p>
  </w:footnote>
  <w:footnote w:id="7">
    <w:p w14:paraId="0D35B85B" w14:textId="4A88D348" w:rsidR="00EB0A80" w:rsidRDefault="00EB0A80" w:rsidP="00FA1C46">
      <w:pPr>
        <w:pStyle w:val="FootnoteText"/>
      </w:pPr>
      <w:r>
        <w:rPr>
          <w:rStyle w:val="FootnoteReference"/>
        </w:rPr>
        <w:footnoteRef/>
      </w:r>
      <w:r>
        <w:t xml:space="preserve"> 50 resolutions</w:t>
      </w:r>
      <w:r w:rsidRPr="00FA1C46">
        <w:t xml:space="preserve"> </w:t>
      </w:r>
      <w:r>
        <w:t>are somewhat fewer</w:t>
      </w:r>
      <w:r w:rsidRPr="00FA1C46">
        <w:t xml:space="preserve"> </w:t>
      </w:r>
      <w:r>
        <w:t>than those named in</w:t>
      </w:r>
      <w:r w:rsidRPr="00FA1C46">
        <w:t xml:space="preserve"> BSI’s Initial Post Hearing Brief</w:t>
      </w:r>
      <w:r>
        <w:t xml:space="preserve"> within</w:t>
      </w:r>
      <w:r w:rsidRPr="00FA1C46">
        <w:t xml:space="preserve"> Point 1 and </w:t>
      </w:r>
      <w:r>
        <w:t>P</w:t>
      </w:r>
      <w:r w:rsidRPr="00FA1C46">
        <w:t>oint 9.</w:t>
      </w:r>
    </w:p>
  </w:footnote>
  <w:footnote w:id="8">
    <w:p w14:paraId="63EAF2F7" w14:textId="39764DDC" w:rsidR="00EB0A80" w:rsidRDefault="00EB0A80" w:rsidP="00FA1C46">
      <w:pPr>
        <w:pStyle w:val="FootnoteText"/>
      </w:pPr>
      <w:r>
        <w:rPr>
          <w:rStyle w:val="FootnoteReference"/>
        </w:rPr>
        <w:footnoteRef/>
      </w:r>
      <w:r>
        <w:t xml:space="preserve"> </w:t>
      </w:r>
      <w:r w:rsidRPr="00A355AD">
        <w:rPr>
          <w:b/>
          <w:bCs/>
        </w:rPr>
        <w:t>Efficient energy use</w:t>
      </w:r>
      <w:r w:rsidRPr="00A355AD">
        <w:t xml:space="preserve">, </w:t>
      </w:r>
      <w:r>
        <w:t xml:space="preserve">a.k.a. </w:t>
      </w:r>
      <w:r w:rsidRPr="00A355AD">
        <w:rPr>
          <w:b/>
          <w:bCs/>
        </w:rPr>
        <w:t>energy efficiency</w:t>
      </w:r>
      <w:r w:rsidRPr="00A355AD">
        <w:t>, is the goal to reduce the amount of energy required to provide products and services</w:t>
      </w:r>
      <w:r>
        <w:rPr>
          <w:rFonts w:ascii="Arial" w:hAnsi="Arial" w:cs="Arial"/>
          <w:color w:val="222222"/>
          <w:sz w:val="21"/>
          <w:szCs w:val="21"/>
          <w:shd w:val="clear" w:color="auto" w:fill="FFFFFF"/>
        </w:rPr>
        <w:t xml:space="preserve">. </w:t>
      </w:r>
      <w:hyperlink r:id="rId3" w:history="1">
        <w:r>
          <w:rPr>
            <w:rStyle w:val="Hyperlink"/>
          </w:rPr>
          <w:t>https://en.wikipedia.org/wiki/Efficient_energy_use</w:t>
        </w:r>
      </w:hyperlink>
      <w:r>
        <w:t xml:space="preserve"> ... However, the standard and by far most common way to measure energy efficiency for most appliances and homes is in units of energy service delivered divided by kWhs consumed.</w:t>
      </w:r>
    </w:p>
  </w:footnote>
  <w:footnote w:id="9">
    <w:p w14:paraId="6BA08FB0" w14:textId="7E1E4898" w:rsidR="00EB0A80" w:rsidRDefault="00EB0A80">
      <w:pPr>
        <w:pStyle w:val="FootnoteText"/>
      </w:pPr>
      <w:r>
        <w:rPr>
          <w:rStyle w:val="FootnoteReference"/>
        </w:rPr>
        <w:footnoteRef/>
      </w:r>
      <w:r>
        <w:t xml:space="preserve"> </w:t>
      </w:r>
      <w:hyperlink w:anchor="_Appendix_1._Table" w:history="1">
        <w:r w:rsidRPr="00D7690A">
          <w:rPr>
            <w:rStyle w:val="Hyperlink"/>
          </w:rPr>
          <w:t>Appendix 1</w:t>
        </w:r>
      </w:hyperlink>
      <w:r>
        <w:t xml:space="preserve"> confirms </w:t>
      </w:r>
      <w:r w:rsidRPr="004C3C13">
        <w:t>Table</w:t>
      </w:r>
      <w:r>
        <w:t xml:space="preserve"> </w:t>
      </w:r>
      <w:r w:rsidRPr="004C3C13">
        <w:t>1’s</w:t>
      </w:r>
      <w:r>
        <w:t xml:space="preserve"> </w:t>
      </w:r>
      <w:r w:rsidRPr="004C3C13">
        <w:t>contents</w:t>
      </w:r>
      <w:r>
        <w:t xml:space="preserve"> </w:t>
      </w:r>
      <w:r w:rsidRPr="004C3C13">
        <w:t>can</w:t>
      </w:r>
      <w:r>
        <w:t xml:space="preserve"> </w:t>
      </w:r>
      <w:r w:rsidRPr="004C3C13">
        <w:t>be</w:t>
      </w:r>
      <w:r>
        <w:t xml:space="preserve"> </w:t>
      </w:r>
      <w:r w:rsidRPr="004C3C13">
        <w:t>directly</w:t>
      </w:r>
      <w:r>
        <w:t xml:space="preserve"> </w:t>
      </w:r>
      <w:r w:rsidRPr="004C3C13">
        <w:t>substantiated</w:t>
      </w:r>
      <w:r>
        <w:t xml:space="preserve"> </w:t>
      </w:r>
      <w:r w:rsidRPr="002D6F19">
        <w:t>from</w:t>
      </w:r>
      <w:r>
        <w:t xml:space="preserve"> </w:t>
      </w:r>
      <w:r w:rsidRPr="002D6F19">
        <w:t>BSI’s</w:t>
      </w:r>
      <w:r>
        <w:t xml:space="preserve"> </w:t>
      </w:r>
      <w:r w:rsidRPr="002D6F19">
        <w:t>Direct</w:t>
      </w:r>
      <w:r>
        <w:t xml:space="preserve"> </w:t>
      </w:r>
      <w:r w:rsidRPr="002D6F19">
        <w:t>Testimony</w:t>
      </w:r>
      <w:r>
        <w:t xml:space="preserve"> </w:t>
      </w:r>
      <w:r w:rsidRPr="002D6F19">
        <w:t>filed</w:t>
      </w:r>
      <w:r>
        <w:t xml:space="preserve"> </w:t>
      </w:r>
      <w:r w:rsidRPr="002D6F19">
        <w:t>on</w:t>
      </w:r>
      <w:r>
        <w:t xml:space="preserve"> </w:t>
      </w:r>
      <w:r w:rsidRPr="002D6F19">
        <w:t>Feb</w:t>
      </w:r>
      <w:r>
        <w:t xml:space="preserve"> </w:t>
      </w:r>
      <w:r w:rsidRPr="002D6F19">
        <w:t>1,</w:t>
      </w:r>
      <w:r>
        <w:t xml:space="preserve"> </w:t>
      </w:r>
      <w:r w:rsidRPr="002D6F19">
        <w:t>2019</w:t>
      </w:r>
      <w:r>
        <w:t>.</w:t>
      </w:r>
    </w:p>
  </w:footnote>
  <w:footnote w:id="10">
    <w:p w14:paraId="37404D11" w14:textId="6F99EA5D" w:rsidR="00EB0A80" w:rsidRDefault="00EB0A80" w:rsidP="00CB13BA">
      <w:pPr>
        <w:pStyle w:val="CommentText"/>
      </w:pPr>
      <w:r>
        <w:rPr>
          <w:rStyle w:val="FootnoteReference"/>
        </w:rPr>
        <w:footnoteRef/>
      </w:r>
      <w:r>
        <w:t xml:space="preserve"> </w:t>
      </w:r>
      <w:r w:rsidRPr="003C7F6D">
        <w:t>Advisor</w:t>
      </w:r>
      <w:r>
        <w:t xml:space="preserve">s </w:t>
      </w:r>
      <w:r w:rsidRPr="003C7F6D">
        <w:t>Brief</w:t>
      </w:r>
      <w:r>
        <w:t xml:space="preserve">, </w:t>
      </w:r>
      <w:r w:rsidRPr="003C7F6D">
        <w:t>page</w:t>
      </w:r>
      <w:r>
        <w:t xml:space="preserve"> </w:t>
      </w:r>
      <w:r w:rsidRPr="003C7F6D">
        <w:t>122.</w:t>
      </w:r>
    </w:p>
  </w:footnote>
  <w:footnote w:id="11">
    <w:p w14:paraId="6A51C226" w14:textId="6A4003A9" w:rsidR="00EB0A80" w:rsidRDefault="00EB0A80">
      <w:pPr>
        <w:pStyle w:val="FootnoteText"/>
      </w:pPr>
      <w:r>
        <w:rPr>
          <w:rStyle w:val="FootnoteReference"/>
        </w:rPr>
        <w:footnoteRef/>
      </w:r>
      <w:r>
        <w:t xml:space="preserve"> “</w:t>
      </w:r>
      <w:r w:rsidRPr="004F010B">
        <w:t>During the 2015 ENO IRP, BSI formulated and recommended Customer Lowered Energy Pricing (CLEP)</w:t>
      </w:r>
      <w:r>
        <w:t>,” BSI’s Direct Testimony, page 6.</w:t>
      </w:r>
    </w:p>
  </w:footnote>
  <w:footnote w:id="12">
    <w:p w14:paraId="5A4CDE2F" w14:textId="4C21E2B2" w:rsidR="00EB0A80" w:rsidRDefault="00EB0A80">
      <w:pPr>
        <w:pStyle w:val="FootnoteText"/>
      </w:pPr>
      <w:r>
        <w:rPr>
          <w:rStyle w:val="FootnoteReference"/>
        </w:rPr>
        <w:footnoteRef/>
      </w:r>
      <w:r>
        <w:t xml:space="preserve"> IBID.</w:t>
      </w:r>
    </w:p>
  </w:footnote>
  <w:footnote w:id="13">
    <w:p w14:paraId="6F635E35" w14:textId="57B61917" w:rsidR="00EB0A80" w:rsidRDefault="00EB0A80">
      <w:pPr>
        <w:pStyle w:val="FootnoteText"/>
      </w:pPr>
      <w:r>
        <w:rPr>
          <w:rStyle w:val="FootnoteReference"/>
        </w:rPr>
        <w:footnoteRef/>
      </w:r>
      <w:r>
        <w:t xml:space="preserve"> </w:t>
      </w:r>
      <w:hyperlink r:id="rId4" w:history="1">
        <w:r>
          <w:rPr>
            <w:rStyle w:val="Hyperlink"/>
          </w:rPr>
          <w:t>https://www.eeba.org/Data/Sites/1/conference/2014/presentations/Katz-Inverted-Demand-Compliant-Construction.pdf</w:t>
        </w:r>
      </w:hyperlink>
      <w:r>
        <w:t>, cited within BSI’s Direct Testimony on page 6.</w:t>
      </w:r>
    </w:p>
  </w:footnote>
  <w:footnote w:id="14">
    <w:p w14:paraId="58BA646A" w14:textId="7AD9222E" w:rsidR="00EB0A80" w:rsidRDefault="00EB0A80">
      <w:pPr>
        <w:pStyle w:val="FootnoteText"/>
      </w:pPr>
      <w:r>
        <w:rPr>
          <w:rStyle w:val="FootnoteReference"/>
        </w:rPr>
        <w:footnoteRef/>
      </w:r>
      <w:r>
        <w:t xml:space="preserve"> </w:t>
      </w:r>
      <w:r w:rsidRPr="003C7F6D">
        <w:t>Advisors,</w:t>
      </w:r>
      <w:r>
        <w:t xml:space="preserve"> </w:t>
      </w:r>
      <w:r w:rsidRPr="003C7F6D">
        <w:t>page</w:t>
      </w:r>
      <w:r>
        <w:t xml:space="preserve"> </w:t>
      </w:r>
      <w:r w:rsidRPr="003C7F6D">
        <w:t>122.</w:t>
      </w:r>
    </w:p>
  </w:footnote>
  <w:footnote w:id="15">
    <w:p w14:paraId="50EDC0DA" w14:textId="7F6C3E90" w:rsidR="00EB0A80" w:rsidRDefault="00EB0A80">
      <w:pPr>
        <w:pStyle w:val="FootnoteText"/>
      </w:pPr>
      <w:r>
        <w:rPr>
          <w:rStyle w:val="FootnoteReference"/>
        </w:rPr>
        <w:footnoteRef/>
      </w:r>
      <w:r>
        <w:t xml:space="preserve"> </w:t>
      </w:r>
      <w:r w:rsidRPr="003C7F6D">
        <w:t>Advisors</w:t>
      </w:r>
      <w:r>
        <w:t xml:space="preserve">, </w:t>
      </w:r>
      <w:r w:rsidRPr="003C7F6D">
        <w:t>page</w:t>
      </w:r>
      <w:r>
        <w:t xml:space="preserve"> </w:t>
      </w:r>
      <w:r w:rsidRPr="003C7F6D">
        <w:t>122.</w:t>
      </w:r>
    </w:p>
  </w:footnote>
  <w:footnote w:id="16">
    <w:p w14:paraId="73A99ABA" w14:textId="77777777" w:rsidR="00EB0A80" w:rsidRPr="003C7F6D" w:rsidRDefault="00EB0A80" w:rsidP="00CE0773">
      <w:pPr>
        <w:pStyle w:val="FootnoteText"/>
      </w:pPr>
      <w:r>
        <w:rPr>
          <w:rStyle w:val="FootnoteReference"/>
        </w:rPr>
        <w:footnoteRef/>
      </w:r>
      <w:r>
        <w:t xml:space="preserve"> </w:t>
      </w:r>
      <w:r w:rsidRPr="003C7F6D">
        <w:t>Adv</w:t>
      </w:r>
      <w:r>
        <w:t xml:space="preserve"> </w:t>
      </w:r>
      <w:r w:rsidRPr="003C7F6D">
        <w:t>p</w:t>
      </w:r>
      <w:r>
        <w:t xml:space="preserve"> </w:t>
      </w:r>
      <w:r w:rsidRPr="003C7F6D">
        <w:t>123.</w:t>
      </w:r>
    </w:p>
    <w:p w14:paraId="649199C8" w14:textId="7051229B" w:rsidR="00EB0A80" w:rsidRDefault="00EB0A80">
      <w:pPr>
        <w:pStyle w:val="FootnoteText"/>
      </w:pPr>
    </w:p>
  </w:footnote>
  <w:footnote w:id="17">
    <w:p w14:paraId="3AB4D8BE" w14:textId="77777777" w:rsidR="00EB0A80" w:rsidRDefault="00EB0A80" w:rsidP="00064848">
      <w:pPr>
        <w:pStyle w:val="FootnoteText"/>
      </w:pPr>
      <w:r>
        <w:rPr>
          <w:rStyle w:val="FootnoteReference"/>
        </w:rPr>
        <w:footnoteRef/>
      </w:r>
      <w:r>
        <w:t xml:space="preserve"> CCPUG and APC make this assertion together with ENO.</w:t>
      </w:r>
    </w:p>
  </w:footnote>
  <w:footnote w:id="18">
    <w:p w14:paraId="0447414E" w14:textId="541E55D6" w:rsidR="00EB0A80" w:rsidRDefault="00EB0A80">
      <w:pPr>
        <w:pStyle w:val="FootnoteText"/>
      </w:pPr>
      <w:r>
        <w:rPr>
          <w:rStyle w:val="FootnoteReference"/>
        </w:rPr>
        <w:footnoteRef/>
      </w:r>
      <w:r>
        <w:t xml:space="preserve"> “</w:t>
      </w:r>
      <w:r w:rsidRPr="002F4F08">
        <w:t>ENO proposes multiple riders designed to provide ENO nearly guaranteed exact cost recovery through mechanisms such as monthly or quarterly rate adjustments, over/under collection correction mechanisms, and true ups to reflect actual vs. budgeted costs.</w:t>
      </w:r>
      <w:r>
        <w:t>” Advisors Initial Post Hearing Brief, page 5.</w:t>
      </w:r>
    </w:p>
  </w:footnote>
  <w:footnote w:id="19">
    <w:p w14:paraId="10820DEF" w14:textId="3FA18EB1" w:rsidR="00EB0A80" w:rsidRDefault="00EB0A80">
      <w:pPr>
        <w:pStyle w:val="FootnoteText"/>
      </w:pPr>
      <w:r>
        <w:rPr>
          <w:rStyle w:val="FootnoteReference"/>
        </w:rPr>
        <w:footnoteRef/>
      </w:r>
      <w:r>
        <w:t xml:space="preserve"> “</w:t>
      </w:r>
      <w:r w:rsidRPr="00F7247C">
        <w:t>The Advisors’ recommendation to update all of the inputs to class cost of service studies, including demand and energy allocation factors that allocate cost among customer classes, during the course of annual FRP reviews is inconsistent with the general concept of FRPs, which are designed to provide an abbreviated and streamlined review of base rate cost recovery. The Advisors’ recommendation would essentially convert the FRP process into “mini” rate cases every year which would make the process unnecessarily complex, expensive, contentious and inefficient. FRPs typically have formulas which specify how any rate adjustments are to be accomplished and apply adjustment as a uniform percentage of base rate revenues, whether there are increases, or decreases.</w:t>
      </w:r>
      <w:r>
        <w:t>”  APC Initial Post Hearing Brief, p 10.</w:t>
      </w:r>
    </w:p>
  </w:footnote>
  <w:footnote w:id="20">
    <w:p w14:paraId="0D099B64" w14:textId="5F6F75BC" w:rsidR="00EB0A80" w:rsidRDefault="00EB0A80">
      <w:pPr>
        <w:pStyle w:val="FootnoteText"/>
      </w:pPr>
      <w:r>
        <w:rPr>
          <w:rStyle w:val="FootnoteReference"/>
        </w:rPr>
        <w:footnoteRef/>
      </w:r>
      <w:r>
        <w:t xml:space="preserve"> “</w:t>
      </w:r>
      <w:r w:rsidRPr="00F7247C">
        <w:t>Advisor witness Prep criticizes ENO’s failure to comply with Council Resolution No. R- 17-504 which provided that ENO should evaluate its total cost of service in determining the utility’s total revenue requirements. Council Resolution No. R-17-504</w:t>
      </w:r>
      <w:r w:rsidRPr="00F7247C">
        <w:rPr>
          <w:position w:val="9"/>
          <w:sz w:val="16"/>
        </w:rPr>
        <w:t xml:space="preserve"> </w:t>
      </w:r>
      <w:r w:rsidRPr="00F7247C">
        <w:t>provides: “include all of ENO's revenues and costs subject to ratemaking treatment, including an allocation of total costs among the rate classes (i.e., matching the allocation of total costs to the total revenues of each ratepayer class) as part of each fully allocated electric and gas cost of service study (i.e., Period I, Period II, and any out of period adjustments).”</w:t>
      </w:r>
      <w:r>
        <w:t xml:space="preserve"> Advisor Initial Post Hearing Brief, page 20.</w:t>
      </w:r>
    </w:p>
  </w:footnote>
  <w:footnote w:id="21">
    <w:p w14:paraId="385EAC8F" w14:textId="692F71E2" w:rsidR="00EB0A80" w:rsidRDefault="00EB0A80">
      <w:pPr>
        <w:pStyle w:val="FootnoteText"/>
      </w:pPr>
      <w:r>
        <w:rPr>
          <w:rStyle w:val="FootnoteReference"/>
        </w:rPr>
        <w:footnoteRef/>
      </w:r>
      <w:r>
        <w:t xml:space="preserve"> IBID.</w:t>
      </w:r>
    </w:p>
  </w:footnote>
  <w:footnote w:id="22">
    <w:p w14:paraId="73A08C36" w14:textId="222D1FF6" w:rsidR="00EB0A80" w:rsidRDefault="00EB0A80">
      <w:pPr>
        <w:pStyle w:val="FootnoteText"/>
      </w:pPr>
      <w:r>
        <w:rPr>
          <w:rStyle w:val="FootnoteReference"/>
        </w:rPr>
        <w:footnoteRef/>
      </w:r>
      <w:r>
        <w:t xml:space="preserve"> IBID.</w:t>
      </w:r>
    </w:p>
  </w:footnote>
  <w:footnote w:id="23">
    <w:p w14:paraId="0A572B00" w14:textId="3EF4E591" w:rsidR="00EB0A80" w:rsidRDefault="00EB0A80">
      <w:pPr>
        <w:pStyle w:val="FootnoteText"/>
      </w:pPr>
      <w:r>
        <w:rPr>
          <w:rStyle w:val="FootnoteReference"/>
        </w:rPr>
        <w:footnoteRef/>
      </w:r>
      <w:r>
        <w:t xml:space="preserve"> </w:t>
      </w:r>
      <w:hyperlink r:id="rId5" w:history="1">
        <w:r>
          <w:rPr>
            <w:rStyle w:val="Hyperlink"/>
          </w:rPr>
          <w:t>http://cityofno.granicus.com/MetaViewer.php?view_id=7&amp;clip_id=1806&amp;meta_id=240639</w:t>
        </w:r>
      </w:hyperlink>
    </w:p>
  </w:footnote>
  <w:footnote w:id="24">
    <w:p w14:paraId="20165295" w14:textId="3E3082EC" w:rsidR="00EB0A80" w:rsidRDefault="00EB0A80" w:rsidP="007176D5">
      <w:pPr>
        <w:pStyle w:val="FootnoteText"/>
      </w:pPr>
      <w:r>
        <w:rPr>
          <w:rStyle w:val="FootnoteReference"/>
        </w:rPr>
        <w:footnoteRef/>
      </w:r>
      <w:r>
        <w:t xml:space="preserve"> “ENO allocates and recovers many other fixed costs on an equal percentage basis from each rate class; however, it abandons this established methodology with respect to the EAI WBL and River Bend 30% PPA capacity costs.” CCPUG, p 15. </w:t>
      </w:r>
    </w:p>
  </w:footnote>
  <w:footnote w:id="25">
    <w:p w14:paraId="6E1D8641" w14:textId="1FBB57BB" w:rsidR="00EB0A80" w:rsidRDefault="00EB0A80" w:rsidP="007176D5">
      <w:pPr>
        <w:pStyle w:val="FootnoteText"/>
      </w:pPr>
    </w:p>
  </w:footnote>
  <w:footnote w:id="26">
    <w:p w14:paraId="426B184F" w14:textId="79EEF9D2" w:rsidR="00EB0A80" w:rsidRDefault="00EB0A80" w:rsidP="007176D5">
      <w:pPr>
        <w:pStyle w:val="FootnoteText"/>
      </w:pPr>
      <w:r>
        <w:rPr>
          <w:rStyle w:val="FootnoteReference"/>
        </w:rPr>
        <w:footnoteRef/>
      </w:r>
      <w:r>
        <w:t xml:space="preserve"> See </w:t>
      </w:r>
      <w:hyperlink w:anchor="_Appendix_3._How" w:history="1">
        <w:r w:rsidRPr="004A3BAF">
          <w:rPr>
            <w:rStyle w:val="Hyperlink"/>
          </w:rPr>
          <w:t>Appendix 3</w:t>
        </w:r>
      </w:hyperlink>
      <w:r>
        <w:t>.</w:t>
      </w:r>
    </w:p>
  </w:footnote>
  <w:footnote w:id="27">
    <w:p w14:paraId="30A84EBD" w14:textId="388B2770" w:rsidR="00EB0A80" w:rsidRDefault="00EB0A80">
      <w:pPr>
        <w:pStyle w:val="FootnoteText"/>
      </w:pPr>
      <w:r>
        <w:rPr>
          <w:rStyle w:val="FootnoteReference"/>
        </w:rPr>
        <w:footnoteRef/>
      </w:r>
      <w:r>
        <w:t xml:space="preserve"> </w:t>
      </w:r>
      <w:hyperlink r:id="rId6" w:history="1">
        <w:r>
          <w:rPr>
            <w:rStyle w:val="Hyperlink"/>
          </w:rPr>
          <w:t>https://www.seia.org/blog/california-takes-significant-step-toward-getting-time-use-rates-right</w:t>
        </w:r>
      </w:hyperlink>
    </w:p>
  </w:footnote>
  <w:footnote w:id="28">
    <w:p w14:paraId="24A3734F" w14:textId="77777777" w:rsidR="00EB0A80" w:rsidRDefault="00EB0A80" w:rsidP="004A3BAF">
      <w:pPr>
        <w:pStyle w:val="FootnoteText"/>
        <w:rPr>
          <w:color w:val="222222"/>
        </w:rPr>
      </w:pPr>
      <w:r>
        <w:rPr>
          <w:rStyle w:val="FootnoteReference"/>
        </w:rPr>
        <w:footnoteRef/>
      </w:r>
      <w:r>
        <w:t xml:space="preserve"> </w:t>
      </w:r>
      <w:r>
        <w:rPr>
          <w:shd w:val="clear" w:color="auto" w:fill="FFFFFF"/>
        </w:rPr>
        <w:t>Why Energy Storage Is Proving More Disruptive Than Cheap Renewables</w:t>
      </w:r>
    </w:p>
    <w:p w14:paraId="35D174D7" w14:textId="3AD26B23" w:rsidR="00EB0A80" w:rsidRPr="004A3BAF" w:rsidRDefault="00663379">
      <w:pPr>
        <w:pStyle w:val="FootnoteText"/>
        <w:rPr>
          <w:color w:val="222222"/>
        </w:rPr>
      </w:pPr>
      <w:hyperlink r:id="rId7" w:history="1">
        <w:r w:rsidR="00EB0A80" w:rsidRPr="004A3BAF">
          <w:rPr>
            <w:rStyle w:val="Hyperlink"/>
            <w:shd w:val="clear" w:color="auto" w:fill="FFFFFF"/>
          </w:rPr>
          <w:t>https://www.forbes.com/sites/jeffmcmahon/2019/08/02/why-energy-storage-is-proving-even-more-disruptive-than-cheap-renewables/amp</w:t>
        </w:r>
      </w:hyperlink>
      <w:r w:rsidR="00EB0A80">
        <w:rPr>
          <w:color w:val="222222"/>
        </w:rPr>
        <w:t xml:space="preserve"> </w:t>
      </w:r>
    </w:p>
  </w:footnote>
  <w:footnote w:id="29">
    <w:p w14:paraId="1AB7A94B" w14:textId="510D9E81" w:rsidR="00EB0A80" w:rsidRDefault="00EB0A80">
      <w:pPr>
        <w:pStyle w:val="FootnoteText"/>
      </w:pPr>
      <w:r>
        <w:rPr>
          <w:rStyle w:val="FootnoteReference"/>
        </w:rPr>
        <w:footnoteRef/>
      </w:r>
      <w:r>
        <w:t xml:space="preserve"> </w:t>
      </w:r>
      <w:r w:rsidRPr="004A3BAF">
        <w:rPr>
          <w:rStyle w:val="Hyperlink"/>
        </w:rPr>
        <w:t>Point 8: What are CLEPm and CLEP5 and how do they Extinguish Cross Subsidies, BSI’s Initial Post Hearing Brief, page 51.</w:t>
      </w:r>
    </w:p>
  </w:footnote>
  <w:footnote w:id="30">
    <w:p w14:paraId="01C84244" w14:textId="223E817D" w:rsidR="00EB0A80" w:rsidRDefault="00EB0A80">
      <w:pPr>
        <w:pStyle w:val="FootnoteText"/>
      </w:pPr>
      <w:r>
        <w:rPr>
          <w:rStyle w:val="FootnoteReference"/>
        </w:rPr>
        <w:footnoteRef/>
      </w:r>
      <w:r>
        <w:t xml:space="preserve"> </w:t>
      </w:r>
      <w:r w:rsidRPr="004A3BAF">
        <w:t>Under cost causation, “all approved rates [must] reflect to some degree the costs actually caused by the customer who must pay them.” K N Energy, Inc. v. FERC, 968 F.2d 1295, 1300 (D.C. Cir. 1992).</w:t>
      </w:r>
    </w:p>
  </w:footnote>
  <w:footnote w:id="31">
    <w:p w14:paraId="38992F85" w14:textId="0648CDD0" w:rsidR="00EB0A80" w:rsidRDefault="00EB0A80">
      <w:pPr>
        <w:pStyle w:val="FootnoteText"/>
      </w:pPr>
      <w:r>
        <w:rPr>
          <w:rStyle w:val="FootnoteReference"/>
        </w:rPr>
        <w:footnoteRef/>
      </w:r>
      <w:r>
        <w:t xml:space="preserve"> “Mr. Baron explained that he does not quarrel with the Advisors’ use of a 12CP methodology for cost allocation purposes, but he demonstrates how the Advisors’ use of judgmental allocation factors result in the commercial customers being assigned a drastically higher rate of return than the residential</w:t>
      </w:r>
      <w:r>
        <w:rPr>
          <w:spacing w:val="2"/>
        </w:rPr>
        <w:t xml:space="preserve"> </w:t>
      </w:r>
      <w:r>
        <w:t>customers” CCPUG Brief, page 43.</w:t>
      </w:r>
    </w:p>
  </w:footnote>
  <w:footnote w:id="32">
    <w:p w14:paraId="01FF2246" w14:textId="00421CD7" w:rsidR="00EB0A80" w:rsidRDefault="00EB0A80">
      <w:pPr>
        <w:pStyle w:val="FootnoteText"/>
      </w:pPr>
      <w:r>
        <w:rPr>
          <w:rStyle w:val="FootnoteReference"/>
        </w:rPr>
        <w:footnoteRef/>
      </w:r>
      <w:r>
        <w:t xml:space="preserve"> Resolution R-09-136, </w:t>
      </w:r>
      <w:r>
        <w:rPr>
          <w:i/>
        </w:rPr>
        <w:t xml:space="preserve">In the Matter of Entergy New Orleans, Inc.’s Application for a Change in Electric and Gas Rates Pursuant to Council Resolution </w:t>
      </w:r>
      <w:r>
        <w:t xml:space="preserve">R-06-459, Docket </w:t>
      </w:r>
      <w:r>
        <w:rPr>
          <w:spacing w:val="-3"/>
        </w:rPr>
        <w:t xml:space="preserve">No. </w:t>
      </w:r>
      <w:r>
        <w:t xml:space="preserve">UD-08-03, Resolution and </w:t>
      </w:r>
      <w:r>
        <w:rPr>
          <w:spacing w:val="-3"/>
        </w:rPr>
        <w:t xml:space="preserve">Order </w:t>
      </w:r>
      <w:r>
        <w:t xml:space="preserve">Approving Agreement in Principle, April </w:t>
      </w:r>
      <w:r>
        <w:rPr>
          <w:spacing w:val="-3"/>
        </w:rPr>
        <w:t xml:space="preserve">2, </w:t>
      </w:r>
      <w:r>
        <w:t>2009, at</w:t>
      </w:r>
      <w:r>
        <w:rPr>
          <w:spacing w:val="-5"/>
        </w:rPr>
        <w:t xml:space="preserve"> </w:t>
      </w:r>
      <w:r>
        <w:t>10., ENO Brief, page 38, footnote 106.</w:t>
      </w:r>
    </w:p>
  </w:footnote>
  <w:footnote w:id="33">
    <w:p w14:paraId="7F871207" w14:textId="0F142769" w:rsidR="00EB0A80" w:rsidRPr="00F344DD" w:rsidRDefault="00EB0A80">
      <w:pPr>
        <w:pStyle w:val="FootnoteText"/>
      </w:pPr>
      <w:r>
        <w:rPr>
          <w:rStyle w:val="FootnoteReference"/>
        </w:rPr>
        <w:footnoteRef/>
      </w:r>
      <w:r>
        <w:t xml:space="preserve"> “</w:t>
      </w:r>
      <w:r w:rsidRPr="00F344DD">
        <w:t>The approach taken by ENO to allocate its claimed revenue requirement among customer classes is a step in the right direction of recognizing cost of service, but still leaves Air Products paying about $2.5 million per year more than it should according to ENO’s own cost of service</w:t>
      </w:r>
      <w:r w:rsidRPr="00F344DD">
        <w:rPr>
          <w:spacing w:val="-6"/>
        </w:rPr>
        <w:t xml:space="preserve"> </w:t>
      </w:r>
      <w:r w:rsidRPr="00F344DD">
        <w:t>study.” APC brief, page 8.</w:t>
      </w:r>
    </w:p>
  </w:footnote>
  <w:footnote w:id="34">
    <w:p w14:paraId="6B72B302" w14:textId="6D8A38C4" w:rsidR="00EB0A80" w:rsidRDefault="00EB0A80" w:rsidP="00F344DD">
      <w:pPr>
        <w:spacing w:line="233" w:lineRule="exact"/>
      </w:pPr>
      <w:r w:rsidRPr="00F344DD">
        <w:rPr>
          <w:rStyle w:val="FootnoteReference"/>
          <w:sz w:val="20"/>
          <w:szCs w:val="20"/>
        </w:rPr>
        <w:footnoteRef/>
      </w:r>
      <w:r w:rsidRPr="00F344DD">
        <w:rPr>
          <w:sz w:val="20"/>
          <w:szCs w:val="20"/>
        </w:rPr>
        <w:t xml:space="preserve"> “Cross-subsidization occurs when one set of customers pays in excess of cost and another pays less than cost of service.”, CCPUG page 4. Exh. CCPUG-5 (Baron Direct Testimony) (CCPUG)), at 13:2-4.</w:t>
      </w:r>
    </w:p>
  </w:footnote>
  <w:footnote w:id="35">
    <w:p w14:paraId="121A294D" w14:textId="6EC18797" w:rsidR="00EB0A80" w:rsidRPr="00C81E0D" w:rsidRDefault="00EB0A80" w:rsidP="00C81E0D">
      <w:pPr>
        <w:pStyle w:val="BodyText"/>
        <w:spacing w:line="240" w:lineRule="auto"/>
        <w:ind w:right="112" w:firstLine="0"/>
        <w:rPr>
          <w:sz w:val="20"/>
          <w:szCs w:val="20"/>
        </w:rPr>
      </w:pPr>
      <w:r>
        <w:rPr>
          <w:rStyle w:val="FootnoteReference"/>
        </w:rPr>
        <w:footnoteRef/>
      </w:r>
      <w:r>
        <w:t xml:space="preserve"> “</w:t>
      </w:r>
      <w:r w:rsidRPr="00C81E0D">
        <w:rPr>
          <w:sz w:val="20"/>
          <w:szCs w:val="20"/>
        </w:rPr>
        <w:t>Unfortunately, however, ENO immediately departed from its Cost of Service Study when designing its proposed rates without any valid reason and in a manner which directly and significantly harms one group of customers in order to benefit another group of customers.</w:t>
      </w:r>
      <w:r>
        <w:t xml:space="preserve">” </w:t>
      </w:r>
      <w:r w:rsidRPr="00C81E0D">
        <w:rPr>
          <w:sz w:val="20"/>
          <w:szCs w:val="20"/>
        </w:rPr>
        <w:t>CCPUG p.4.</w:t>
      </w:r>
    </w:p>
  </w:footnote>
  <w:footnote w:id="36">
    <w:p w14:paraId="27B38A99" w14:textId="0C700D24" w:rsidR="00EB0A80" w:rsidRDefault="00EB0A80">
      <w:pPr>
        <w:pStyle w:val="FootnoteText"/>
      </w:pPr>
      <w:r>
        <w:rPr>
          <w:rStyle w:val="FootnoteReference"/>
        </w:rPr>
        <w:footnoteRef/>
      </w:r>
      <w:r>
        <w:t xml:space="preserve"> “Subsidies under current rates have amounted to roughly $45 million per year. In other words, ENO’s residential customers are currently paying $45 million per year </w:t>
      </w:r>
      <w:r>
        <w:rPr>
          <w:b/>
          <w:i/>
        </w:rPr>
        <w:t xml:space="preserve">less than </w:t>
      </w:r>
      <w:r>
        <w:t>the costs ENO incurs to serve that class of customers”, CCPUG p. 11.</w:t>
      </w:r>
    </w:p>
  </w:footnote>
  <w:footnote w:id="37">
    <w:p w14:paraId="05D82FE9" w14:textId="18DC8D86" w:rsidR="00EB0A80" w:rsidRDefault="00EB0A80">
      <w:pPr>
        <w:pStyle w:val="FootnoteText"/>
      </w:pPr>
      <w:r>
        <w:rPr>
          <w:rStyle w:val="FootnoteReference"/>
        </w:rPr>
        <w:footnoteRef/>
      </w:r>
      <w:r>
        <w:t xml:space="preserve"> “The going-forward subsidies total more than </w:t>
      </w:r>
      <w:r>
        <w:rPr>
          <w:b/>
        </w:rPr>
        <w:t xml:space="preserve">$35 million per year </w:t>
      </w:r>
      <w:r>
        <w:t xml:space="preserve">and those same two classes of commercial customers are expected to contribute </w:t>
      </w:r>
      <w:r>
        <w:rPr>
          <w:b/>
        </w:rPr>
        <w:t xml:space="preserve">over 47% </w:t>
      </w:r>
      <w:r>
        <w:t>of those annual subsidies.” CCPUG p. 11.</w:t>
      </w:r>
    </w:p>
  </w:footnote>
  <w:footnote w:id="38">
    <w:p w14:paraId="31F596CC" w14:textId="409BCDB4" w:rsidR="00EB0A80" w:rsidRDefault="00EB0A80">
      <w:pPr>
        <w:pStyle w:val="FootnoteText"/>
      </w:pPr>
      <w:r>
        <w:rPr>
          <w:rStyle w:val="FootnoteReference"/>
        </w:rPr>
        <w:footnoteRef/>
      </w:r>
      <w:r>
        <w:t xml:space="preserve"> ENO’s witnesses freely admit that the allocation of the EAI WBL and River Bend 30% PPA capacity costs does </w:t>
      </w:r>
      <w:r>
        <w:rPr>
          <w:b/>
          <w:i/>
        </w:rPr>
        <w:t xml:space="preserve">not </w:t>
      </w:r>
      <w:r>
        <w:t>follow cost-causation principles or even its own Cost of Service Study. CCPUG, p. 54.</w:t>
      </w:r>
    </w:p>
  </w:footnote>
  <w:footnote w:id="39">
    <w:p w14:paraId="243A024B" w14:textId="3B8D8FC3" w:rsidR="00EB0A80" w:rsidRDefault="00EB0A80">
      <w:pPr>
        <w:pStyle w:val="FootnoteText"/>
      </w:pPr>
      <w:r>
        <w:rPr>
          <w:rStyle w:val="FootnoteReference"/>
        </w:rPr>
        <w:footnoteRef/>
      </w:r>
      <w:r>
        <w:t xml:space="preserve"> “</w:t>
      </w:r>
      <w:r w:rsidRPr="00F344DD">
        <w:t>BSI supports the rolling back of all cross subsidies between rate classes over ten years and to avoid rate shock in the interim, immediately provide for an OPT-in CLEP rate for all customers.</w:t>
      </w:r>
      <w:r>
        <w:t>” BSI Initial Post Hearing Brief, p 28.</w:t>
      </w:r>
    </w:p>
  </w:footnote>
  <w:footnote w:id="40">
    <w:p w14:paraId="07B40987" w14:textId="5204A3E8" w:rsidR="00EB0A80" w:rsidRDefault="00EB0A80">
      <w:pPr>
        <w:pStyle w:val="FootnoteText"/>
      </w:pPr>
      <w:r>
        <w:rPr>
          <w:rStyle w:val="FootnoteReference"/>
        </w:rPr>
        <w:footnoteRef/>
      </w:r>
      <w:r>
        <w:t xml:space="preserve"> See Point 8 within BSI Initial Post Hearing Brief, p 52.</w:t>
      </w:r>
    </w:p>
  </w:footnote>
  <w:footnote w:id="41">
    <w:p w14:paraId="1796EBF0" w14:textId="7CDBC56E" w:rsidR="00EB0A80" w:rsidRDefault="00EB0A80">
      <w:pPr>
        <w:pStyle w:val="FootnoteText"/>
      </w:pPr>
      <w:r>
        <w:rPr>
          <w:rStyle w:val="FootnoteReference"/>
        </w:rPr>
        <w:footnoteRef/>
      </w:r>
      <w:r>
        <w:t xml:space="preserve"> “</w:t>
      </w:r>
      <w:r w:rsidRPr="00C81E0D">
        <w:t>The Advisors’ recommendation to update all of the inputs to class cost of service studies, including demand and energy allocation factors that allocate cost among customer classes, during the course of annual FRP reviews is inconsistent with the general concept of FRPs, which are designed to provide an abbreviated and streamlined review of base rate cost recovery. The Advisors’ recommendation would essentially convert the FRP process into “mini” rate cases every year which would make the process unnecessarily complex, expensive, contentious and inefficient. FRPs typically have formulas which specify how any rate adjustments are to be accomplished and apply adjustment as a uniform percentage of base rate revenues, whether there are increases, or decreases</w:t>
      </w:r>
      <w:r>
        <w:t>” APC page 10.</w:t>
      </w:r>
    </w:p>
  </w:footnote>
  <w:footnote w:id="42">
    <w:p w14:paraId="65839623" w14:textId="1BBF0BC0" w:rsidR="00EB0A80" w:rsidRDefault="00EB0A80">
      <w:pPr>
        <w:pStyle w:val="FootnoteText"/>
      </w:pPr>
      <w:r>
        <w:rPr>
          <w:rStyle w:val="FootnoteReference"/>
        </w:rPr>
        <w:footnoteRef/>
      </w:r>
      <w:r>
        <w:t xml:space="preserve"> BSI Direct Testimony, See GET NOPSI BACK on Lines 11 </w:t>
      </w:r>
      <w:bookmarkStart w:id="94" w:name="_Hlk16396649"/>
      <w:r>
        <w:t>-</w:t>
      </w:r>
      <w:bookmarkEnd w:id="94"/>
      <w:r>
        <w:t xml:space="preserve"> 15, page 4; </w:t>
      </w:r>
      <w:r w:rsidRPr="001C3032">
        <w:t>Alliance for Affordable Energy on lines 16 -</w:t>
      </w:r>
      <w:r>
        <w:t xml:space="preserve"> </w:t>
      </w:r>
      <w:r w:rsidRPr="001C3032">
        <w:t xml:space="preserve">18, p 4., River Bend, lines 18 </w:t>
      </w:r>
      <w:r>
        <w:t>-</w:t>
      </w:r>
      <w:r w:rsidRPr="001C3032">
        <w:t xml:space="preserve"> 20, p 4, New Orleans Energy Policy Taskforce, lines 7 -</w:t>
      </w:r>
      <w:r>
        <w:t xml:space="preserve"> </w:t>
      </w:r>
      <w:r w:rsidRPr="001C3032">
        <w:t>10, p 5</w:t>
      </w:r>
      <w:r>
        <w:t>,</w:t>
      </w:r>
      <w:r w:rsidRPr="001C3032">
        <w:t xml:space="preserve"> 2015 ENO IRP, line 13 </w:t>
      </w:r>
      <w:r>
        <w:t>-</w:t>
      </w:r>
      <w:r w:rsidRPr="001C3032">
        <w:t xml:space="preserve"> 14, p 5.</w:t>
      </w:r>
    </w:p>
  </w:footnote>
  <w:footnote w:id="43">
    <w:p w14:paraId="77607FA5" w14:textId="1ACB777E" w:rsidR="00EB0A80" w:rsidRPr="00911B13" w:rsidRDefault="00EB0A80" w:rsidP="002D6F19">
      <w:pPr>
        <w:pStyle w:val="FootnoteText"/>
      </w:pPr>
      <w:r>
        <w:rPr>
          <w:rStyle w:val="FootnoteReference"/>
        </w:rPr>
        <w:footnoteRef/>
      </w:r>
      <w:r>
        <w:t xml:space="preserve"> </w:t>
      </w:r>
      <w:r w:rsidRPr="00911B13">
        <w:t xml:space="preserve">The principal and perhaps only exception is </w:t>
      </w:r>
      <w:r>
        <w:t xml:space="preserve">in </w:t>
      </w:r>
      <w:r w:rsidRPr="00911B13">
        <w:t xml:space="preserve">the case of NEM, where according to Andrew Owens, </w:t>
      </w:r>
      <w:r>
        <w:t xml:space="preserve">roughly 3 million kWh/y, i.e., about </w:t>
      </w:r>
      <w:r w:rsidRPr="00911B13">
        <w:t xml:space="preserve">5% of the production </w:t>
      </w:r>
      <w:r>
        <w:t>of New Orleans’ residents’ rooftop solar (</w:t>
      </w:r>
      <w:r w:rsidRPr="00911B13">
        <w:t>roughly 35 MW</w:t>
      </w:r>
      <w:r>
        <w:t xml:space="preserve"> a few years ago) </w:t>
      </w:r>
      <w:r w:rsidRPr="00911B13">
        <w:t>is sold to ENO at retail rates</w:t>
      </w:r>
      <w:r>
        <w:t xml:space="preserve"> — at various times the retail rate is higher than MISO prices. Assuming a conservatively high, weighted average amount of $0.05 higher than wholesale, the total addition to the cost of energy from these NEM purchases would be less than (1/20) *$3 million/y = $150,000/y = D. </w:t>
      </w:r>
    </w:p>
  </w:footnote>
  <w:footnote w:id="44">
    <w:p w14:paraId="4C0DC9F6" w14:textId="77777777" w:rsidR="00EB0A80" w:rsidRPr="00371541" w:rsidRDefault="00EB0A80" w:rsidP="002D6F19">
      <w:pPr>
        <w:pStyle w:val="FootnoteText"/>
      </w:pPr>
      <w:r>
        <w:rPr>
          <w:rStyle w:val="FootnoteReference"/>
        </w:rPr>
        <w:footnoteRef/>
      </w:r>
      <w:r>
        <w:t xml:space="preserve"> Considering the annual total cost of energy for ENO from all other causes is around $300 million, D’s percent of </w:t>
      </w:r>
      <w:r w:rsidRPr="006D7B42">
        <w:rPr>
          <w:b/>
        </w:rPr>
        <w:t>e</w:t>
      </w:r>
      <w:r>
        <w:t xml:space="preserve"> is about = 150E3/(300E6) = 1/2E-3 = 0.05%.</w:t>
      </w:r>
    </w:p>
  </w:footnote>
  <w:footnote w:id="45">
    <w:p w14:paraId="4809C74C" w14:textId="77777777" w:rsidR="00EB0A80" w:rsidRPr="00371541" w:rsidRDefault="00EB0A80" w:rsidP="002D6F19">
      <w:pPr>
        <w:pStyle w:val="FootnoteText"/>
      </w:pPr>
      <w:r w:rsidRPr="00371541">
        <w:rPr>
          <w:vertAlign w:val="superscript"/>
        </w:rPr>
        <w:footnoteRef/>
      </w:r>
      <w:r w:rsidRPr="00371541">
        <w:t xml:space="preserve"> Note that the definition of LCOE in this publication from DOE absolutely conflates the </w:t>
      </w:r>
      <w:r w:rsidRPr="007A451D">
        <w:rPr>
          <w:b/>
          <w:i/>
        </w:rPr>
        <w:t>cost-of-energy</w:t>
      </w:r>
      <w:r w:rsidRPr="00371541">
        <w:t xml:space="preserve"> with the </w:t>
      </w:r>
      <w:r w:rsidRPr="007A451D">
        <w:rPr>
          <w:b/>
          <w:i/>
        </w:rPr>
        <w:t>cost of electricity production</w:t>
      </w:r>
      <w:r w:rsidRPr="00371541">
        <w:t xml:space="preserve">. </w:t>
      </w:r>
      <w:hyperlink r:id="rId8" w:history="1">
        <w:r w:rsidRPr="00371541">
          <w:t>https://www.energy.gov/sites/prod/files/2015/08/f25/LCOE.pdf</w:t>
        </w:r>
      </w:hyperlink>
    </w:p>
  </w:footnote>
  <w:footnote w:id="46">
    <w:p w14:paraId="3A2F7BC9" w14:textId="0B327A7A" w:rsidR="00EB0A80" w:rsidRDefault="00EB0A80" w:rsidP="002D6F19">
      <w:pPr>
        <w:pStyle w:val="FootnoteText"/>
      </w:pPr>
      <w:r>
        <w:rPr>
          <w:rStyle w:val="FootnoteReference"/>
        </w:rPr>
        <w:footnoteRef/>
      </w:r>
      <w:r>
        <w:t xml:space="preserve"> </w:t>
      </w:r>
      <w:r w:rsidRPr="008D05F6">
        <w:rPr>
          <w:rFonts w:eastAsia="Calibri"/>
        </w:rPr>
        <w:t xml:space="preserve">This formula for e, restated in </w:t>
      </w:r>
      <w:r>
        <w:rPr>
          <w:rFonts w:eastAsia="Calibri"/>
        </w:rPr>
        <w:t xml:space="preserve">plain </w:t>
      </w:r>
      <w:r w:rsidRPr="008D05F6">
        <w:rPr>
          <w:rFonts w:eastAsia="Calibri"/>
        </w:rPr>
        <w:t xml:space="preserve">English, </w:t>
      </w:r>
      <w:r>
        <w:rPr>
          <w:rFonts w:eastAsia="Calibri"/>
        </w:rPr>
        <w:t>merely says</w:t>
      </w:r>
      <w:r w:rsidRPr="008D05F6">
        <w:rPr>
          <w:rFonts w:eastAsia="Calibri"/>
        </w:rPr>
        <w:t xml:space="preserve">: </w:t>
      </w:r>
      <w:r>
        <w:rPr>
          <w:rFonts w:eastAsia="Calibri"/>
        </w:rPr>
        <w:t>“</w:t>
      </w:r>
      <w:r w:rsidRPr="008D05F6">
        <w:rPr>
          <w:rFonts w:eastAsia="Calibri"/>
        </w:rPr>
        <w:t xml:space="preserve">cost-of-energy = </w:t>
      </w:r>
      <w:r>
        <w:rPr>
          <w:rFonts w:eastAsia="Calibri"/>
        </w:rPr>
        <w:t>[</w:t>
      </w:r>
      <w:r w:rsidRPr="008D05F6">
        <w:rPr>
          <w:rFonts w:eastAsia="Calibri"/>
        </w:rPr>
        <w:t>the sum of the expenses</w:t>
      </w:r>
      <w:r>
        <w:rPr>
          <w:rFonts w:eastAsia="Calibri"/>
        </w:rPr>
        <w:t xml:space="preserve"> (</w:t>
      </w:r>
      <w:r w:rsidRPr="008D05F6">
        <w:rPr>
          <w:rFonts w:eastAsia="Calibri"/>
        </w:rPr>
        <w:t>i.e., from buying</w:t>
      </w:r>
      <w:r>
        <w:rPr>
          <w:rFonts w:eastAsia="Calibri"/>
        </w:rPr>
        <w:t>)</w:t>
      </w:r>
      <w:r w:rsidRPr="008D05F6">
        <w:rPr>
          <w:rFonts w:eastAsia="Calibri"/>
        </w:rPr>
        <w:t xml:space="preserve"> minus the sum of the income</w:t>
      </w:r>
      <w:r>
        <w:rPr>
          <w:rFonts w:eastAsia="Calibri"/>
        </w:rPr>
        <w:t xml:space="preserve"> (</w:t>
      </w:r>
      <w:r w:rsidRPr="008D05F6">
        <w:rPr>
          <w:rFonts w:eastAsia="Calibri"/>
        </w:rPr>
        <w:t>i.e., from selling</w:t>
      </w:r>
      <w:r>
        <w:rPr>
          <w:rFonts w:eastAsia="Calibri"/>
        </w:rPr>
        <w:t>)]</w:t>
      </w:r>
      <w:r w:rsidRPr="008D05F6">
        <w:rPr>
          <w:rFonts w:eastAsia="Calibri"/>
        </w:rPr>
        <w:t xml:space="preserve"> divided by </w:t>
      </w:r>
      <w:r>
        <w:rPr>
          <w:rFonts w:eastAsia="Calibri"/>
        </w:rPr>
        <w:t>[</w:t>
      </w:r>
      <w:r w:rsidRPr="008D05F6">
        <w:rPr>
          <w:rFonts w:eastAsia="Calibri"/>
        </w:rPr>
        <w:t>the number of purchases minus the number of sales</w:t>
      </w:r>
      <w:r>
        <w:rPr>
          <w:rFonts w:eastAsia="Calibri"/>
        </w:rPr>
        <w:t>].”</w:t>
      </w:r>
      <w:r>
        <w:t xml:space="preserve"> </w:t>
      </w:r>
      <w:r w:rsidRPr="00DA1F4D">
        <w:t>The subscript i indicates correspondence with the values N</w:t>
      </w:r>
      <w:r w:rsidRPr="00DA1F4D">
        <w:rPr>
          <w:vertAlign w:val="subscript"/>
        </w:rPr>
        <w:t>i</w:t>
      </w:r>
      <w:r w:rsidRPr="00DA1F4D">
        <w:t xml:space="preserve"> and </w:t>
      </w:r>
      <w:r>
        <w:t>w</w:t>
      </w:r>
      <w:r w:rsidRPr="00DA1F4D">
        <w:rPr>
          <w:vertAlign w:val="subscript"/>
        </w:rPr>
        <w:t>i</w:t>
      </w:r>
      <w:r w:rsidRPr="00DA1F4D">
        <w:t>. (It could be thought of an “index” into an array of values.)</w:t>
      </w:r>
    </w:p>
  </w:footnote>
  <w:footnote w:id="47">
    <w:p w14:paraId="4F95CDFD" w14:textId="2A9156DD" w:rsidR="00EB0A80" w:rsidRDefault="00EB0A80">
      <w:pPr>
        <w:pStyle w:val="FootnoteText"/>
      </w:pPr>
      <w:r>
        <w:rPr>
          <w:rStyle w:val="FootnoteReference"/>
        </w:rPr>
        <w:footnoteRef/>
      </w:r>
      <w:r>
        <w:t xml:space="preserve"> See BSI Initial Post Hearing Brief Point 5, page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F977" w14:textId="77777777" w:rsidR="00EB0A80" w:rsidRDefault="00EB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4E2"/>
    <w:multiLevelType w:val="hybridMultilevel"/>
    <w:tmpl w:val="BD1A0CE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8211D79"/>
    <w:multiLevelType w:val="hybridMultilevel"/>
    <w:tmpl w:val="C110F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F780B"/>
    <w:multiLevelType w:val="hybridMultilevel"/>
    <w:tmpl w:val="3230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E1006"/>
    <w:multiLevelType w:val="hybridMultilevel"/>
    <w:tmpl w:val="BD52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37F64"/>
    <w:multiLevelType w:val="hybridMultilevel"/>
    <w:tmpl w:val="E78C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51A4C"/>
    <w:multiLevelType w:val="hybridMultilevel"/>
    <w:tmpl w:val="02B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32634"/>
    <w:multiLevelType w:val="hybridMultilevel"/>
    <w:tmpl w:val="DECA75CC"/>
    <w:lvl w:ilvl="0" w:tplc="40DA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11DEB"/>
    <w:multiLevelType w:val="hybridMultilevel"/>
    <w:tmpl w:val="F5369BB0"/>
    <w:lvl w:ilvl="0" w:tplc="9C66A4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24AC2"/>
    <w:multiLevelType w:val="hybridMultilevel"/>
    <w:tmpl w:val="59B609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D317A"/>
    <w:multiLevelType w:val="hybridMultilevel"/>
    <w:tmpl w:val="B530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D7F6E"/>
    <w:multiLevelType w:val="hybridMultilevel"/>
    <w:tmpl w:val="EA822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650BD8"/>
    <w:multiLevelType w:val="multilevel"/>
    <w:tmpl w:val="444A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CC6141"/>
    <w:multiLevelType w:val="hybridMultilevel"/>
    <w:tmpl w:val="89D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C6EA6"/>
    <w:multiLevelType w:val="hybridMultilevel"/>
    <w:tmpl w:val="AFBEB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01F47"/>
    <w:multiLevelType w:val="hybridMultilevel"/>
    <w:tmpl w:val="19505EA0"/>
    <w:lvl w:ilvl="0" w:tplc="760C1D2A">
      <w:start w:val="1"/>
      <w:numFmt w:val="lowerLetter"/>
      <w:lvlText w:val="%1."/>
      <w:lvlJc w:val="left"/>
      <w:pPr>
        <w:ind w:left="720" w:hanging="360"/>
      </w:pPr>
    </w:lvl>
    <w:lvl w:ilvl="1" w:tplc="DDAA6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BAB"/>
    <w:multiLevelType w:val="hybridMultilevel"/>
    <w:tmpl w:val="B016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32B42"/>
    <w:multiLevelType w:val="hybridMultilevel"/>
    <w:tmpl w:val="77128288"/>
    <w:lvl w:ilvl="0" w:tplc="FC6EB782">
      <w:start w:val="1"/>
      <w:numFmt w:val="upperRoman"/>
      <w:lvlText w:val="%1."/>
      <w:lvlJc w:val="left"/>
      <w:pPr>
        <w:ind w:left="940" w:hanging="720"/>
      </w:pPr>
      <w:rPr>
        <w:rFonts w:ascii="Times New Roman" w:eastAsia="Times New Roman" w:hAnsi="Times New Roman" w:cs="Times New Roman" w:hint="default"/>
        <w:b/>
        <w:bCs/>
        <w:w w:val="99"/>
        <w:sz w:val="24"/>
        <w:szCs w:val="24"/>
      </w:rPr>
    </w:lvl>
    <w:lvl w:ilvl="1" w:tplc="8D2EC400">
      <w:start w:val="1"/>
      <w:numFmt w:val="upperLetter"/>
      <w:lvlText w:val="%2."/>
      <w:lvlJc w:val="left"/>
      <w:pPr>
        <w:ind w:left="1660" w:hanging="720"/>
      </w:pPr>
      <w:rPr>
        <w:rFonts w:ascii="Times New Roman" w:eastAsia="Times New Roman" w:hAnsi="Times New Roman" w:cs="Times New Roman" w:hint="default"/>
        <w:b/>
        <w:bCs/>
        <w:spacing w:val="-4"/>
        <w:w w:val="99"/>
        <w:sz w:val="24"/>
        <w:szCs w:val="24"/>
      </w:rPr>
    </w:lvl>
    <w:lvl w:ilvl="2" w:tplc="D76E18AE">
      <w:start w:val="1"/>
      <w:numFmt w:val="decimal"/>
      <w:lvlText w:val="%3."/>
      <w:lvlJc w:val="left"/>
      <w:pPr>
        <w:ind w:left="2380" w:hanging="720"/>
      </w:pPr>
      <w:rPr>
        <w:rFonts w:ascii="Times New Roman" w:eastAsia="Times New Roman" w:hAnsi="Times New Roman" w:cs="Times New Roman" w:hint="default"/>
        <w:spacing w:val="-5"/>
        <w:w w:val="99"/>
        <w:sz w:val="24"/>
        <w:szCs w:val="24"/>
      </w:rPr>
    </w:lvl>
    <w:lvl w:ilvl="3" w:tplc="2E107DD4">
      <w:start w:val="1"/>
      <w:numFmt w:val="lowerLetter"/>
      <w:lvlText w:val="%4)"/>
      <w:lvlJc w:val="left"/>
      <w:pPr>
        <w:ind w:left="2250" w:hanging="720"/>
      </w:pPr>
      <w:rPr>
        <w:rFonts w:ascii="Times New Roman" w:eastAsia="Times New Roman" w:hAnsi="Times New Roman" w:cs="Times New Roman" w:hint="default"/>
        <w:i/>
        <w:spacing w:val="-2"/>
        <w:w w:val="99"/>
        <w:sz w:val="24"/>
        <w:szCs w:val="24"/>
      </w:rPr>
    </w:lvl>
    <w:lvl w:ilvl="4" w:tplc="BA528358">
      <w:start w:val="1"/>
      <w:numFmt w:val="decimal"/>
      <w:lvlText w:val="(%5)"/>
      <w:lvlJc w:val="left"/>
      <w:pPr>
        <w:ind w:left="3731" w:hanging="631"/>
      </w:pPr>
      <w:rPr>
        <w:rFonts w:ascii="Times New Roman" w:eastAsia="Times New Roman" w:hAnsi="Times New Roman" w:cs="Times New Roman" w:hint="default"/>
        <w:spacing w:val="-4"/>
        <w:w w:val="99"/>
        <w:sz w:val="24"/>
        <w:szCs w:val="24"/>
      </w:rPr>
    </w:lvl>
    <w:lvl w:ilvl="5" w:tplc="5776D08C">
      <w:numFmt w:val="bullet"/>
      <w:lvlText w:val="•"/>
      <w:lvlJc w:val="left"/>
      <w:pPr>
        <w:ind w:left="4750" w:hanging="631"/>
      </w:pPr>
      <w:rPr>
        <w:rFonts w:hint="default"/>
      </w:rPr>
    </w:lvl>
    <w:lvl w:ilvl="6" w:tplc="36AAA7F2">
      <w:numFmt w:val="bullet"/>
      <w:lvlText w:val="•"/>
      <w:lvlJc w:val="left"/>
      <w:pPr>
        <w:ind w:left="5760" w:hanging="631"/>
      </w:pPr>
      <w:rPr>
        <w:rFonts w:hint="default"/>
      </w:rPr>
    </w:lvl>
    <w:lvl w:ilvl="7" w:tplc="71068F00">
      <w:numFmt w:val="bullet"/>
      <w:lvlText w:val="•"/>
      <w:lvlJc w:val="left"/>
      <w:pPr>
        <w:ind w:left="6770" w:hanging="631"/>
      </w:pPr>
      <w:rPr>
        <w:rFonts w:hint="default"/>
      </w:rPr>
    </w:lvl>
    <w:lvl w:ilvl="8" w:tplc="7EBA1D14">
      <w:numFmt w:val="bullet"/>
      <w:lvlText w:val="•"/>
      <w:lvlJc w:val="left"/>
      <w:pPr>
        <w:ind w:left="7780" w:hanging="631"/>
      </w:pPr>
      <w:rPr>
        <w:rFonts w:hint="default"/>
      </w:rPr>
    </w:lvl>
  </w:abstractNum>
  <w:abstractNum w:abstractNumId="17" w15:restartNumberingAfterBreak="0">
    <w:nsid w:val="30597A20"/>
    <w:multiLevelType w:val="hybridMultilevel"/>
    <w:tmpl w:val="89502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B1A8F"/>
    <w:multiLevelType w:val="hybridMultilevel"/>
    <w:tmpl w:val="16F40D2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367E4DA0"/>
    <w:multiLevelType w:val="multilevel"/>
    <w:tmpl w:val="7FAC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9A6C98"/>
    <w:multiLevelType w:val="hybridMultilevel"/>
    <w:tmpl w:val="BA0AA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157AA"/>
    <w:multiLevelType w:val="hybridMultilevel"/>
    <w:tmpl w:val="99028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2F1B77"/>
    <w:multiLevelType w:val="hybridMultilevel"/>
    <w:tmpl w:val="BFEC6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14E9F"/>
    <w:multiLevelType w:val="hybridMultilevel"/>
    <w:tmpl w:val="FC94721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4A451073"/>
    <w:multiLevelType w:val="hybridMultilevel"/>
    <w:tmpl w:val="F4A4EAC8"/>
    <w:lvl w:ilvl="0" w:tplc="472A63EC">
      <w:numFmt w:val="bullet"/>
      <w:lvlText w:val="-"/>
      <w:lvlJc w:val="left"/>
      <w:pPr>
        <w:ind w:left="720" w:hanging="360"/>
      </w:pPr>
      <w:rPr>
        <w:rFonts w:ascii="Times New Roman" w:eastAsia="Times New Roman" w:hAnsi="Times New Roman" w:cs="Times New Roman"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B47BC"/>
    <w:multiLevelType w:val="hybridMultilevel"/>
    <w:tmpl w:val="7948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2018E"/>
    <w:multiLevelType w:val="hybridMultilevel"/>
    <w:tmpl w:val="85429C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174C6"/>
    <w:multiLevelType w:val="hybridMultilevel"/>
    <w:tmpl w:val="5A7C9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069AA"/>
    <w:multiLevelType w:val="hybridMultilevel"/>
    <w:tmpl w:val="B892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F3E74"/>
    <w:multiLevelType w:val="hybridMultilevel"/>
    <w:tmpl w:val="85429C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C6457"/>
    <w:multiLevelType w:val="hybridMultilevel"/>
    <w:tmpl w:val="4C968CF8"/>
    <w:lvl w:ilvl="0" w:tplc="6DDAD452">
      <w:numFmt w:val="bullet"/>
      <w:lvlText w:val="•"/>
      <w:lvlJc w:val="left"/>
      <w:pPr>
        <w:ind w:left="5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B5B5B3E"/>
    <w:multiLevelType w:val="hybridMultilevel"/>
    <w:tmpl w:val="28CC93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DEA0323"/>
    <w:multiLevelType w:val="hybridMultilevel"/>
    <w:tmpl w:val="82B8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77CB6"/>
    <w:multiLevelType w:val="hybridMultilevel"/>
    <w:tmpl w:val="C76AC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E3525"/>
    <w:multiLevelType w:val="hybridMultilevel"/>
    <w:tmpl w:val="0AE8B9A8"/>
    <w:lvl w:ilvl="0" w:tplc="B4AA4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979BC"/>
    <w:multiLevelType w:val="hybridMultilevel"/>
    <w:tmpl w:val="8100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A2FD6"/>
    <w:multiLevelType w:val="hybridMultilevel"/>
    <w:tmpl w:val="19B47040"/>
    <w:lvl w:ilvl="0" w:tplc="AFF6F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91E24"/>
    <w:multiLevelType w:val="hybridMultilevel"/>
    <w:tmpl w:val="E0501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0"/>
  </w:num>
  <w:num w:numId="4">
    <w:abstractNumId w:val="31"/>
  </w:num>
  <w:num w:numId="5">
    <w:abstractNumId w:val="15"/>
  </w:num>
  <w:num w:numId="6">
    <w:abstractNumId w:val="28"/>
  </w:num>
  <w:num w:numId="7">
    <w:abstractNumId w:val="4"/>
  </w:num>
  <w:num w:numId="8">
    <w:abstractNumId w:val="5"/>
  </w:num>
  <w:num w:numId="9">
    <w:abstractNumId w:val="12"/>
  </w:num>
  <w:num w:numId="10">
    <w:abstractNumId w:val="35"/>
  </w:num>
  <w:num w:numId="11">
    <w:abstractNumId w:val="37"/>
  </w:num>
  <w:num w:numId="12">
    <w:abstractNumId w:val="6"/>
  </w:num>
  <w:num w:numId="13">
    <w:abstractNumId w:val="7"/>
  </w:num>
  <w:num w:numId="14">
    <w:abstractNumId w:val="32"/>
  </w:num>
  <w:num w:numId="15">
    <w:abstractNumId w:val="24"/>
  </w:num>
  <w:num w:numId="16">
    <w:abstractNumId w:val="17"/>
  </w:num>
  <w:num w:numId="17">
    <w:abstractNumId w:val="8"/>
  </w:num>
  <w:num w:numId="18">
    <w:abstractNumId w:val="25"/>
  </w:num>
  <w:num w:numId="19">
    <w:abstractNumId w:val="21"/>
  </w:num>
  <w:num w:numId="20">
    <w:abstractNumId w:val="22"/>
  </w:num>
  <w:num w:numId="21">
    <w:abstractNumId w:val="36"/>
  </w:num>
  <w:num w:numId="22">
    <w:abstractNumId w:val="34"/>
  </w:num>
  <w:num w:numId="23">
    <w:abstractNumId w:val="26"/>
  </w:num>
  <w:num w:numId="24">
    <w:abstractNumId w:val="29"/>
  </w:num>
  <w:num w:numId="25">
    <w:abstractNumId w:val="10"/>
  </w:num>
  <w:num w:numId="26">
    <w:abstractNumId w:val="11"/>
  </w:num>
  <w:num w:numId="27">
    <w:abstractNumId w:val="33"/>
  </w:num>
  <w:num w:numId="28">
    <w:abstractNumId w:val="16"/>
  </w:num>
  <w:num w:numId="29">
    <w:abstractNumId w:val="20"/>
  </w:num>
  <w:num w:numId="30">
    <w:abstractNumId w:val="9"/>
  </w:num>
  <w:num w:numId="31">
    <w:abstractNumId w:val="14"/>
  </w:num>
  <w:num w:numId="32">
    <w:abstractNumId w:val="1"/>
  </w:num>
  <w:num w:numId="33">
    <w:abstractNumId w:val="19"/>
  </w:num>
  <w:num w:numId="34">
    <w:abstractNumId w:val="13"/>
  </w:num>
  <w:num w:numId="35">
    <w:abstractNumId w:val="23"/>
  </w:num>
  <w:num w:numId="36">
    <w:abstractNumId w:val="18"/>
  </w:num>
  <w:num w:numId="37">
    <w:abstractNumId w:val="27"/>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647"/>
    <w:rsid w:val="0000430D"/>
    <w:rsid w:val="00007994"/>
    <w:rsid w:val="00010179"/>
    <w:rsid w:val="00012C23"/>
    <w:rsid w:val="00013735"/>
    <w:rsid w:val="00016B86"/>
    <w:rsid w:val="00016BC0"/>
    <w:rsid w:val="00024264"/>
    <w:rsid w:val="00024BA4"/>
    <w:rsid w:val="000256CA"/>
    <w:rsid w:val="000263FA"/>
    <w:rsid w:val="00026FFE"/>
    <w:rsid w:val="0003116C"/>
    <w:rsid w:val="0003376F"/>
    <w:rsid w:val="00033E29"/>
    <w:rsid w:val="00035260"/>
    <w:rsid w:val="000368F6"/>
    <w:rsid w:val="000406F0"/>
    <w:rsid w:val="0004178C"/>
    <w:rsid w:val="0004262A"/>
    <w:rsid w:val="00044943"/>
    <w:rsid w:val="00050375"/>
    <w:rsid w:val="00055C6D"/>
    <w:rsid w:val="000603D6"/>
    <w:rsid w:val="000613EA"/>
    <w:rsid w:val="000619CA"/>
    <w:rsid w:val="000632E3"/>
    <w:rsid w:val="00064848"/>
    <w:rsid w:val="0007651B"/>
    <w:rsid w:val="000773B2"/>
    <w:rsid w:val="0007751E"/>
    <w:rsid w:val="000776AF"/>
    <w:rsid w:val="00081F32"/>
    <w:rsid w:val="00087AE5"/>
    <w:rsid w:val="00087BF3"/>
    <w:rsid w:val="00087FE8"/>
    <w:rsid w:val="00091687"/>
    <w:rsid w:val="00091EBC"/>
    <w:rsid w:val="00093A84"/>
    <w:rsid w:val="00093C8E"/>
    <w:rsid w:val="00093EA2"/>
    <w:rsid w:val="000959C6"/>
    <w:rsid w:val="00095F67"/>
    <w:rsid w:val="0009662D"/>
    <w:rsid w:val="000A1FA6"/>
    <w:rsid w:val="000A6E2F"/>
    <w:rsid w:val="000B1719"/>
    <w:rsid w:val="000B226F"/>
    <w:rsid w:val="000B3C03"/>
    <w:rsid w:val="000B5054"/>
    <w:rsid w:val="000B5C57"/>
    <w:rsid w:val="000C1EA4"/>
    <w:rsid w:val="000C204F"/>
    <w:rsid w:val="000C4417"/>
    <w:rsid w:val="000D02F4"/>
    <w:rsid w:val="000D0609"/>
    <w:rsid w:val="000D381E"/>
    <w:rsid w:val="000D3D70"/>
    <w:rsid w:val="000D4172"/>
    <w:rsid w:val="000D4C53"/>
    <w:rsid w:val="000D57C8"/>
    <w:rsid w:val="000D65E7"/>
    <w:rsid w:val="000D7C76"/>
    <w:rsid w:val="000E46A3"/>
    <w:rsid w:val="000E7E0E"/>
    <w:rsid w:val="000F09C9"/>
    <w:rsid w:val="000F0D68"/>
    <w:rsid w:val="000F1361"/>
    <w:rsid w:val="000F1963"/>
    <w:rsid w:val="000F35BC"/>
    <w:rsid w:val="000F3D86"/>
    <w:rsid w:val="000F4B9B"/>
    <w:rsid w:val="000F670E"/>
    <w:rsid w:val="000F7B41"/>
    <w:rsid w:val="001019C3"/>
    <w:rsid w:val="00102F82"/>
    <w:rsid w:val="00103AD4"/>
    <w:rsid w:val="001056D4"/>
    <w:rsid w:val="00106047"/>
    <w:rsid w:val="00110ADA"/>
    <w:rsid w:val="0011367A"/>
    <w:rsid w:val="00114DDD"/>
    <w:rsid w:val="0011731D"/>
    <w:rsid w:val="0012059A"/>
    <w:rsid w:val="00121586"/>
    <w:rsid w:val="0012205F"/>
    <w:rsid w:val="001273F9"/>
    <w:rsid w:val="00127A85"/>
    <w:rsid w:val="001317D9"/>
    <w:rsid w:val="00132044"/>
    <w:rsid w:val="001335D6"/>
    <w:rsid w:val="00134F66"/>
    <w:rsid w:val="00137646"/>
    <w:rsid w:val="00137A22"/>
    <w:rsid w:val="00142AED"/>
    <w:rsid w:val="00147456"/>
    <w:rsid w:val="00150429"/>
    <w:rsid w:val="00151A74"/>
    <w:rsid w:val="001520E6"/>
    <w:rsid w:val="00156C7F"/>
    <w:rsid w:val="00156D49"/>
    <w:rsid w:val="001603EB"/>
    <w:rsid w:val="00161340"/>
    <w:rsid w:val="001628F6"/>
    <w:rsid w:val="001648EE"/>
    <w:rsid w:val="00167256"/>
    <w:rsid w:val="00167346"/>
    <w:rsid w:val="00167E24"/>
    <w:rsid w:val="00171861"/>
    <w:rsid w:val="00171DE4"/>
    <w:rsid w:val="001743A5"/>
    <w:rsid w:val="00174659"/>
    <w:rsid w:val="00174740"/>
    <w:rsid w:val="001761EB"/>
    <w:rsid w:val="00176DA5"/>
    <w:rsid w:val="00177C09"/>
    <w:rsid w:val="00183DBA"/>
    <w:rsid w:val="00184C00"/>
    <w:rsid w:val="00185163"/>
    <w:rsid w:val="00185FF0"/>
    <w:rsid w:val="00186140"/>
    <w:rsid w:val="00194FAF"/>
    <w:rsid w:val="00196E41"/>
    <w:rsid w:val="001A011E"/>
    <w:rsid w:val="001A01FC"/>
    <w:rsid w:val="001A2583"/>
    <w:rsid w:val="001A3CEC"/>
    <w:rsid w:val="001A4425"/>
    <w:rsid w:val="001A5ECC"/>
    <w:rsid w:val="001B2566"/>
    <w:rsid w:val="001B303B"/>
    <w:rsid w:val="001B531D"/>
    <w:rsid w:val="001B7524"/>
    <w:rsid w:val="001B7F10"/>
    <w:rsid w:val="001C23E3"/>
    <w:rsid w:val="001C3032"/>
    <w:rsid w:val="001C7AB1"/>
    <w:rsid w:val="001D6D50"/>
    <w:rsid w:val="001E0128"/>
    <w:rsid w:val="001E0EDA"/>
    <w:rsid w:val="001E2364"/>
    <w:rsid w:val="001E69F1"/>
    <w:rsid w:val="001E79D4"/>
    <w:rsid w:val="001E7FA8"/>
    <w:rsid w:val="001F0430"/>
    <w:rsid w:val="001F1B8C"/>
    <w:rsid w:val="002010A0"/>
    <w:rsid w:val="002047BB"/>
    <w:rsid w:val="002060A9"/>
    <w:rsid w:val="00207774"/>
    <w:rsid w:val="00210D37"/>
    <w:rsid w:val="00222147"/>
    <w:rsid w:val="00223230"/>
    <w:rsid w:val="00223765"/>
    <w:rsid w:val="00223DA3"/>
    <w:rsid w:val="002240F6"/>
    <w:rsid w:val="002249CD"/>
    <w:rsid w:val="00225AB5"/>
    <w:rsid w:val="00226514"/>
    <w:rsid w:val="002412EC"/>
    <w:rsid w:val="00242566"/>
    <w:rsid w:val="00250DF5"/>
    <w:rsid w:val="002514B0"/>
    <w:rsid w:val="00251D39"/>
    <w:rsid w:val="00252A82"/>
    <w:rsid w:val="00255DFF"/>
    <w:rsid w:val="00256B02"/>
    <w:rsid w:val="002604A8"/>
    <w:rsid w:val="002615F7"/>
    <w:rsid w:val="00264377"/>
    <w:rsid w:val="00264ABB"/>
    <w:rsid w:val="0026519F"/>
    <w:rsid w:val="00265520"/>
    <w:rsid w:val="00265EC5"/>
    <w:rsid w:val="00266185"/>
    <w:rsid w:val="0026641A"/>
    <w:rsid w:val="002717D2"/>
    <w:rsid w:val="00276A1D"/>
    <w:rsid w:val="002815C8"/>
    <w:rsid w:val="00283D47"/>
    <w:rsid w:val="00290425"/>
    <w:rsid w:val="002919DA"/>
    <w:rsid w:val="00293671"/>
    <w:rsid w:val="00294149"/>
    <w:rsid w:val="002948D8"/>
    <w:rsid w:val="002A0449"/>
    <w:rsid w:val="002A16E5"/>
    <w:rsid w:val="002A16FE"/>
    <w:rsid w:val="002A1BCB"/>
    <w:rsid w:val="002A1EB7"/>
    <w:rsid w:val="002A21F6"/>
    <w:rsid w:val="002A4114"/>
    <w:rsid w:val="002A50C4"/>
    <w:rsid w:val="002A6CFF"/>
    <w:rsid w:val="002A6E35"/>
    <w:rsid w:val="002B3346"/>
    <w:rsid w:val="002B47B9"/>
    <w:rsid w:val="002B7528"/>
    <w:rsid w:val="002C304E"/>
    <w:rsid w:val="002C4A09"/>
    <w:rsid w:val="002C7971"/>
    <w:rsid w:val="002D0660"/>
    <w:rsid w:val="002D22F1"/>
    <w:rsid w:val="002D365D"/>
    <w:rsid w:val="002D4735"/>
    <w:rsid w:val="002D6880"/>
    <w:rsid w:val="002D6F19"/>
    <w:rsid w:val="002D7564"/>
    <w:rsid w:val="002E09B7"/>
    <w:rsid w:val="002E2592"/>
    <w:rsid w:val="002E770E"/>
    <w:rsid w:val="002F0B58"/>
    <w:rsid w:val="002F1A4D"/>
    <w:rsid w:val="002F431B"/>
    <w:rsid w:val="002F463E"/>
    <w:rsid w:val="002F4F08"/>
    <w:rsid w:val="002F53DD"/>
    <w:rsid w:val="002F59C3"/>
    <w:rsid w:val="002F7A2A"/>
    <w:rsid w:val="003004FF"/>
    <w:rsid w:val="00300623"/>
    <w:rsid w:val="00300CFC"/>
    <w:rsid w:val="00301FED"/>
    <w:rsid w:val="00303EE7"/>
    <w:rsid w:val="003051C7"/>
    <w:rsid w:val="003063B1"/>
    <w:rsid w:val="00312A0B"/>
    <w:rsid w:val="003131FF"/>
    <w:rsid w:val="00314D91"/>
    <w:rsid w:val="0032380C"/>
    <w:rsid w:val="00324E4D"/>
    <w:rsid w:val="003258E0"/>
    <w:rsid w:val="00332192"/>
    <w:rsid w:val="00336D15"/>
    <w:rsid w:val="003370C4"/>
    <w:rsid w:val="00342204"/>
    <w:rsid w:val="003433A8"/>
    <w:rsid w:val="00354711"/>
    <w:rsid w:val="003552ED"/>
    <w:rsid w:val="0036163C"/>
    <w:rsid w:val="00362967"/>
    <w:rsid w:val="0036307B"/>
    <w:rsid w:val="00370B55"/>
    <w:rsid w:val="00371BEF"/>
    <w:rsid w:val="00371FF5"/>
    <w:rsid w:val="00374810"/>
    <w:rsid w:val="00375160"/>
    <w:rsid w:val="00376FCF"/>
    <w:rsid w:val="00380D11"/>
    <w:rsid w:val="003833A6"/>
    <w:rsid w:val="00383B0B"/>
    <w:rsid w:val="00384BA5"/>
    <w:rsid w:val="003865E6"/>
    <w:rsid w:val="003865ED"/>
    <w:rsid w:val="0039157F"/>
    <w:rsid w:val="00395CB1"/>
    <w:rsid w:val="00395CC2"/>
    <w:rsid w:val="0039765C"/>
    <w:rsid w:val="0039778A"/>
    <w:rsid w:val="003A32A3"/>
    <w:rsid w:val="003B1787"/>
    <w:rsid w:val="003B271E"/>
    <w:rsid w:val="003B41DB"/>
    <w:rsid w:val="003B5CCB"/>
    <w:rsid w:val="003B7FAF"/>
    <w:rsid w:val="003C46F2"/>
    <w:rsid w:val="003C4B89"/>
    <w:rsid w:val="003C6728"/>
    <w:rsid w:val="003C697D"/>
    <w:rsid w:val="003C7F6D"/>
    <w:rsid w:val="003D2013"/>
    <w:rsid w:val="003D2C08"/>
    <w:rsid w:val="003D3D9F"/>
    <w:rsid w:val="003D4494"/>
    <w:rsid w:val="003D5937"/>
    <w:rsid w:val="003D69ED"/>
    <w:rsid w:val="003E07A9"/>
    <w:rsid w:val="003E40EA"/>
    <w:rsid w:val="003E4A4B"/>
    <w:rsid w:val="003E7F4E"/>
    <w:rsid w:val="003F406D"/>
    <w:rsid w:val="003F5D23"/>
    <w:rsid w:val="003F6D50"/>
    <w:rsid w:val="00400D9C"/>
    <w:rsid w:val="004029B9"/>
    <w:rsid w:val="00403D9F"/>
    <w:rsid w:val="004058AC"/>
    <w:rsid w:val="0040649B"/>
    <w:rsid w:val="00410403"/>
    <w:rsid w:val="004111C5"/>
    <w:rsid w:val="00415D00"/>
    <w:rsid w:val="00420B84"/>
    <w:rsid w:val="00420CB8"/>
    <w:rsid w:val="00422B0A"/>
    <w:rsid w:val="00424240"/>
    <w:rsid w:val="0042506D"/>
    <w:rsid w:val="00425CDF"/>
    <w:rsid w:val="00426167"/>
    <w:rsid w:val="004311A2"/>
    <w:rsid w:val="00431821"/>
    <w:rsid w:val="00432D4A"/>
    <w:rsid w:val="00434210"/>
    <w:rsid w:val="0044171B"/>
    <w:rsid w:val="004424F8"/>
    <w:rsid w:val="00444898"/>
    <w:rsid w:val="00445F74"/>
    <w:rsid w:val="00446FFC"/>
    <w:rsid w:val="004534FD"/>
    <w:rsid w:val="00454E02"/>
    <w:rsid w:val="0046678E"/>
    <w:rsid w:val="00466EAC"/>
    <w:rsid w:val="00467B0B"/>
    <w:rsid w:val="00467B92"/>
    <w:rsid w:val="00467DB5"/>
    <w:rsid w:val="00473014"/>
    <w:rsid w:val="00474251"/>
    <w:rsid w:val="0047603A"/>
    <w:rsid w:val="00477ADE"/>
    <w:rsid w:val="004836EA"/>
    <w:rsid w:val="00484403"/>
    <w:rsid w:val="00493E78"/>
    <w:rsid w:val="0049455B"/>
    <w:rsid w:val="00494F93"/>
    <w:rsid w:val="00495294"/>
    <w:rsid w:val="00495F49"/>
    <w:rsid w:val="00496AA1"/>
    <w:rsid w:val="00497FDE"/>
    <w:rsid w:val="004A0408"/>
    <w:rsid w:val="004A38AB"/>
    <w:rsid w:val="004A3BAF"/>
    <w:rsid w:val="004B03CA"/>
    <w:rsid w:val="004B21AE"/>
    <w:rsid w:val="004B269E"/>
    <w:rsid w:val="004B39AE"/>
    <w:rsid w:val="004B4A24"/>
    <w:rsid w:val="004B57AA"/>
    <w:rsid w:val="004B7613"/>
    <w:rsid w:val="004C3512"/>
    <w:rsid w:val="004C3C13"/>
    <w:rsid w:val="004D0647"/>
    <w:rsid w:val="004D0C4F"/>
    <w:rsid w:val="004D1A33"/>
    <w:rsid w:val="004D2BC4"/>
    <w:rsid w:val="004D324B"/>
    <w:rsid w:val="004D3723"/>
    <w:rsid w:val="004D6F97"/>
    <w:rsid w:val="004E0771"/>
    <w:rsid w:val="004E141C"/>
    <w:rsid w:val="004E472A"/>
    <w:rsid w:val="004E4945"/>
    <w:rsid w:val="004F010B"/>
    <w:rsid w:val="004F18EC"/>
    <w:rsid w:val="004F2047"/>
    <w:rsid w:val="004F2C10"/>
    <w:rsid w:val="004F316A"/>
    <w:rsid w:val="004F3A02"/>
    <w:rsid w:val="004F59B9"/>
    <w:rsid w:val="00501E4B"/>
    <w:rsid w:val="0050516E"/>
    <w:rsid w:val="005067A6"/>
    <w:rsid w:val="005069B8"/>
    <w:rsid w:val="00511610"/>
    <w:rsid w:val="00511AF1"/>
    <w:rsid w:val="00511B0A"/>
    <w:rsid w:val="00512C61"/>
    <w:rsid w:val="00513C62"/>
    <w:rsid w:val="00513FBD"/>
    <w:rsid w:val="005147D3"/>
    <w:rsid w:val="00515E82"/>
    <w:rsid w:val="00516F56"/>
    <w:rsid w:val="005225DC"/>
    <w:rsid w:val="005243C9"/>
    <w:rsid w:val="00524F9C"/>
    <w:rsid w:val="00526B40"/>
    <w:rsid w:val="005321BE"/>
    <w:rsid w:val="00533D2B"/>
    <w:rsid w:val="005340E8"/>
    <w:rsid w:val="00537AB4"/>
    <w:rsid w:val="005425CD"/>
    <w:rsid w:val="0054292C"/>
    <w:rsid w:val="0054407D"/>
    <w:rsid w:val="0054595A"/>
    <w:rsid w:val="00552B41"/>
    <w:rsid w:val="005531AD"/>
    <w:rsid w:val="0055535B"/>
    <w:rsid w:val="00555AFF"/>
    <w:rsid w:val="00556A1D"/>
    <w:rsid w:val="00557BE0"/>
    <w:rsid w:val="005608AB"/>
    <w:rsid w:val="00562DEE"/>
    <w:rsid w:val="005647D2"/>
    <w:rsid w:val="00564E1E"/>
    <w:rsid w:val="005674FB"/>
    <w:rsid w:val="005774CD"/>
    <w:rsid w:val="005835AC"/>
    <w:rsid w:val="005873D7"/>
    <w:rsid w:val="0059122C"/>
    <w:rsid w:val="00592CE2"/>
    <w:rsid w:val="005940C4"/>
    <w:rsid w:val="005943D6"/>
    <w:rsid w:val="00594B0B"/>
    <w:rsid w:val="00595E48"/>
    <w:rsid w:val="005962C2"/>
    <w:rsid w:val="005A0AB1"/>
    <w:rsid w:val="005A28F2"/>
    <w:rsid w:val="005A4C75"/>
    <w:rsid w:val="005A578B"/>
    <w:rsid w:val="005A65B2"/>
    <w:rsid w:val="005A78E5"/>
    <w:rsid w:val="005B23DF"/>
    <w:rsid w:val="005B2CB8"/>
    <w:rsid w:val="005B4529"/>
    <w:rsid w:val="005B6121"/>
    <w:rsid w:val="005C2146"/>
    <w:rsid w:val="005C5A25"/>
    <w:rsid w:val="005D1217"/>
    <w:rsid w:val="005D150C"/>
    <w:rsid w:val="005D219C"/>
    <w:rsid w:val="005D45B7"/>
    <w:rsid w:val="005D4A21"/>
    <w:rsid w:val="005D4D0E"/>
    <w:rsid w:val="005D6398"/>
    <w:rsid w:val="005D6C26"/>
    <w:rsid w:val="005D6CA9"/>
    <w:rsid w:val="005E0F9D"/>
    <w:rsid w:val="005E2185"/>
    <w:rsid w:val="005E31D2"/>
    <w:rsid w:val="005F0318"/>
    <w:rsid w:val="005F276E"/>
    <w:rsid w:val="005F2E09"/>
    <w:rsid w:val="005F391D"/>
    <w:rsid w:val="005F3C93"/>
    <w:rsid w:val="005F4780"/>
    <w:rsid w:val="005F76D1"/>
    <w:rsid w:val="0060127D"/>
    <w:rsid w:val="00601B86"/>
    <w:rsid w:val="00601FFC"/>
    <w:rsid w:val="00606BFF"/>
    <w:rsid w:val="00606EC3"/>
    <w:rsid w:val="00610D6F"/>
    <w:rsid w:val="00611F20"/>
    <w:rsid w:val="006121B4"/>
    <w:rsid w:val="00612C4C"/>
    <w:rsid w:val="0061784D"/>
    <w:rsid w:val="00617973"/>
    <w:rsid w:val="006200F1"/>
    <w:rsid w:val="00625E41"/>
    <w:rsid w:val="006261C2"/>
    <w:rsid w:val="006333BE"/>
    <w:rsid w:val="0064055A"/>
    <w:rsid w:val="00643227"/>
    <w:rsid w:val="006439C9"/>
    <w:rsid w:val="00650E31"/>
    <w:rsid w:val="00650FB8"/>
    <w:rsid w:val="00653B4D"/>
    <w:rsid w:val="00654BB2"/>
    <w:rsid w:val="00654D29"/>
    <w:rsid w:val="00662B94"/>
    <w:rsid w:val="00663379"/>
    <w:rsid w:val="0066442F"/>
    <w:rsid w:val="00664B73"/>
    <w:rsid w:val="00672F03"/>
    <w:rsid w:val="00685527"/>
    <w:rsid w:val="00687FD6"/>
    <w:rsid w:val="006920E0"/>
    <w:rsid w:val="00693EA2"/>
    <w:rsid w:val="006A0308"/>
    <w:rsid w:val="006A10CF"/>
    <w:rsid w:val="006B0926"/>
    <w:rsid w:val="006B22FA"/>
    <w:rsid w:val="006B3309"/>
    <w:rsid w:val="006B42F2"/>
    <w:rsid w:val="006B55C1"/>
    <w:rsid w:val="006B5E4B"/>
    <w:rsid w:val="006B6A9D"/>
    <w:rsid w:val="006B6D74"/>
    <w:rsid w:val="006B7494"/>
    <w:rsid w:val="006C3D9C"/>
    <w:rsid w:val="006D6236"/>
    <w:rsid w:val="006E4668"/>
    <w:rsid w:val="006E7B50"/>
    <w:rsid w:val="006F057A"/>
    <w:rsid w:val="006F0B1D"/>
    <w:rsid w:val="006F170E"/>
    <w:rsid w:val="006F309F"/>
    <w:rsid w:val="006F73AD"/>
    <w:rsid w:val="006F75E1"/>
    <w:rsid w:val="00702D63"/>
    <w:rsid w:val="007039B7"/>
    <w:rsid w:val="007044E3"/>
    <w:rsid w:val="00706104"/>
    <w:rsid w:val="00707B4F"/>
    <w:rsid w:val="00710D64"/>
    <w:rsid w:val="007112BE"/>
    <w:rsid w:val="00712E07"/>
    <w:rsid w:val="007150E3"/>
    <w:rsid w:val="00715979"/>
    <w:rsid w:val="00717445"/>
    <w:rsid w:val="007176D5"/>
    <w:rsid w:val="00720ADD"/>
    <w:rsid w:val="007215E2"/>
    <w:rsid w:val="00721A46"/>
    <w:rsid w:val="00724C05"/>
    <w:rsid w:val="00726208"/>
    <w:rsid w:val="007268EE"/>
    <w:rsid w:val="00731B2C"/>
    <w:rsid w:val="00733832"/>
    <w:rsid w:val="00734B49"/>
    <w:rsid w:val="00736ABA"/>
    <w:rsid w:val="00737CFD"/>
    <w:rsid w:val="007414E6"/>
    <w:rsid w:val="00743A0D"/>
    <w:rsid w:val="00744F54"/>
    <w:rsid w:val="00750C52"/>
    <w:rsid w:val="00751B9F"/>
    <w:rsid w:val="00752366"/>
    <w:rsid w:val="00754C38"/>
    <w:rsid w:val="0076001D"/>
    <w:rsid w:val="0076091E"/>
    <w:rsid w:val="00763ADA"/>
    <w:rsid w:val="00770007"/>
    <w:rsid w:val="0077281C"/>
    <w:rsid w:val="0077605F"/>
    <w:rsid w:val="0077767B"/>
    <w:rsid w:val="00780124"/>
    <w:rsid w:val="0078105A"/>
    <w:rsid w:val="00791135"/>
    <w:rsid w:val="007939DE"/>
    <w:rsid w:val="00794B32"/>
    <w:rsid w:val="00796BAA"/>
    <w:rsid w:val="007974A5"/>
    <w:rsid w:val="00797E8B"/>
    <w:rsid w:val="007A01E0"/>
    <w:rsid w:val="007A2018"/>
    <w:rsid w:val="007A5DC3"/>
    <w:rsid w:val="007B03EC"/>
    <w:rsid w:val="007B6188"/>
    <w:rsid w:val="007B7896"/>
    <w:rsid w:val="007C08E5"/>
    <w:rsid w:val="007C1F29"/>
    <w:rsid w:val="007C6557"/>
    <w:rsid w:val="007C6CD7"/>
    <w:rsid w:val="007D01E2"/>
    <w:rsid w:val="007D23E9"/>
    <w:rsid w:val="007D2C8B"/>
    <w:rsid w:val="007D3B09"/>
    <w:rsid w:val="007D6B06"/>
    <w:rsid w:val="007E0214"/>
    <w:rsid w:val="007E14A6"/>
    <w:rsid w:val="007E2243"/>
    <w:rsid w:val="007E2899"/>
    <w:rsid w:val="007E3555"/>
    <w:rsid w:val="007E4FE2"/>
    <w:rsid w:val="007E7C1A"/>
    <w:rsid w:val="007F13DA"/>
    <w:rsid w:val="007F410D"/>
    <w:rsid w:val="007F674B"/>
    <w:rsid w:val="007F775E"/>
    <w:rsid w:val="0080050C"/>
    <w:rsid w:val="00803C23"/>
    <w:rsid w:val="0080630A"/>
    <w:rsid w:val="008065B0"/>
    <w:rsid w:val="00807F6C"/>
    <w:rsid w:val="00816055"/>
    <w:rsid w:val="00816803"/>
    <w:rsid w:val="0081700A"/>
    <w:rsid w:val="0082013B"/>
    <w:rsid w:val="00820C49"/>
    <w:rsid w:val="00821275"/>
    <w:rsid w:val="00821757"/>
    <w:rsid w:val="00821CDA"/>
    <w:rsid w:val="0082203E"/>
    <w:rsid w:val="008233A5"/>
    <w:rsid w:val="00824B57"/>
    <w:rsid w:val="0082713E"/>
    <w:rsid w:val="008304EE"/>
    <w:rsid w:val="00831BA2"/>
    <w:rsid w:val="008326E5"/>
    <w:rsid w:val="008373F9"/>
    <w:rsid w:val="00840C8F"/>
    <w:rsid w:val="008419F3"/>
    <w:rsid w:val="00844055"/>
    <w:rsid w:val="008450B9"/>
    <w:rsid w:val="008461F3"/>
    <w:rsid w:val="00850A69"/>
    <w:rsid w:val="008524E4"/>
    <w:rsid w:val="00852C46"/>
    <w:rsid w:val="008631A6"/>
    <w:rsid w:val="00864DE9"/>
    <w:rsid w:val="008666B2"/>
    <w:rsid w:val="008672D1"/>
    <w:rsid w:val="008673A4"/>
    <w:rsid w:val="00872479"/>
    <w:rsid w:val="00873246"/>
    <w:rsid w:val="0087370E"/>
    <w:rsid w:val="00874B6D"/>
    <w:rsid w:val="008762B5"/>
    <w:rsid w:val="00880520"/>
    <w:rsid w:val="008812A7"/>
    <w:rsid w:val="00881DB7"/>
    <w:rsid w:val="00882285"/>
    <w:rsid w:val="008848F2"/>
    <w:rsid w:val="00887360"/>
    <w:rsid w:val="008878EF"/>
    <w:rsid w:val="00887BB4"/>
    <w:rsid w:val="008903DD"/>
    <w:rsid w:val="00890C74"/>
    <w:rsid w:val="00891675"/>
    <w:rsid w:val="008976CB"/>
    <w:rsid w:val="008A00FA"/>
    <w:rsid w:val="008A3448"/>
    <w:rsid w:val="008A34D4"/>
    <w:rsid w:val="008B405B"/>
    <w:rsid w:val="008B4F93"/>
    <w:rsid w:val="008B55D7"/>
    <w:rsid w:val="008C1DF5"/>
    <w:rsid w:val="008C29C3"/>
    <w:rsid w:val="008C483E"/>
    <w:rsid w:val="008C565B"/>
    <w:rsid w:val="008C611A"/>
    <w:rsid w:val="008C62AC"/>
    <w:rsid w:val="008C7A59"/>
    <w:rsid w:val="008D00E0"/>
    <w:rsid w:val="008D11D7"/>
    <w:rsid w:val="008D6271"/>
    <w:rsid w:val="008D7A97"/>
    <w:rsid w:val="008D7B95"/>
    <w:rsid w:val="008E00DC"/>
    <w:rsid w:val="008E0129"/>
    <w:rsid w:val="008E33B8"/>
    <w:rsid w:val="008E4528"/>
    <w:rsid w:val="008E59E8"/>
    <w:rsid w:val="008E6F7D"/>
    <w:rsid w:val="008F0083"/>
    <w:rsid w:val="008F4B41"/>
    <w:rsid w:val="008F51BA"/>
    <w:rsid w:val="008F6573"/>
    <w:rsid w:val="009044F4"/>
    <w:rsid w:val="009103EE"/>
    <w:rsid w:val="00910469"/>
    <w:rsid w:val="009120A8"/>
    <w:rsid w:val="00916BE2"/>
    <w:rsid w:val="009173D4"/>
    <w:rsid w:val="00917B2A"/>
    <w:rsid w:val="00922AE9"/>
    <w:rsid w:val="009249E8"/>
    <w:rsid w:val="00924B60"/>
    <w:rsid w:val="009256B4"/>
    <w:rsid w:val="00926278"/>
    <w:rsid w:val="00926C24"/>
    <w:rsid w:val="00927B67"/>
    <w:rsid w:val="0093152C"/>
    <w:rsid w:val="009317D0"/>
    <w:rsid w:val="00934067"/>
    <w:rsid w:val="0093501F"/>
    <w:rsid w:val="00935880"/>
    <w:rsid w:val="00940F41"/>
    <w:rsid w:val="00941E2E"/>
    <w:rsid w:val="0094207C"/>
    <w:rsid w:val="0094306F"/>
    <w:rsid w:val="0094353A"/>
    <w:rsid w:val="0094532C"/>
    <w:rsid w:val="0094672C"/>
    <w:rsid w:val="00950CE5"/>
    <w:rsid w:val="00952FCE"/>
    <w:rsid w:val="00953137"/>
    <w:rsid w:val="00954F9F"/>
    <w:rsid w:val="00956FDD"/>
    <w:rsid w:val="00957CF4"/>
    <w:rsid w:val="00962C8D"/>
    <w:rsid w:val="00967A11"/>
    <w:rsid w:val="00970CDF"/>
    <w:rsid w:val="00971578"/>
    <w:rsid w:val="00971B7D"/>
    <w:rsid w:val="00973425"/>
    <w:rsid w:val="00977515"/>
    <w:rsid w:val="00980BAC"/>
    <w:rsid w:val="0098121C"/>
    <w:rsid w:val="00981925"/>
    <w:rsid w:val="0098336B"/>
    <w:rsid w:val="009872FE"/>
    <w:rsid w:val="00987FCF"/>
    <w:rsid w:val="00992783"/>
    <w:rsid w:val="00994396"/>
    <w:rsid w:val="00996655"/>
    <w:rsid w:val="009A1869"/>
    <w:rsid w:val="009A2795"/>
    <w:rsid w:val="009A2C36"/>
    <w:rsid w:val="009A6360"/>
    <w:rsid w:val="009B02C4"/>
    <w:rsid w:val="009B060B"/>
    <w:rsid w:val="009B080D"/>
    <w:rsid w:val="009B1BC1"/>
    <w:rsid w:val="009B2608"/>
    <w:rsid w:val="009B3367"/>
    <w:rsid w:val="009B44B6"/>
    <w:rsid w:val="009B7C4B"/>
    <w:rsid w:val="009C087F"/>
    <w:rsid w:val="009C1640"/>
    <w:rsid w:val="009C3FFD"/>
    <w:rsid w:val="009C6310"/>
    <w:rsid w:val="009C6311"/>
    <w:rsid w:val="009C64D2"/>
    <w:rsid w:val="009C6CC9"/>
    <w:rsid w:val="009C7C06"/>
    <w:rsid w:val="009D063C"/>
    <w:rsid w:val="009D18EB"/>
    <w:rsid w:val="009D5A71"/>
    <w:rsid w:val="009D6FF2"/>
    <w:rsid w:val="009D7E6B"/>
    <w:rsid w:val="009E534A"/>
    <w:rsid w:val="009E57B7"/>
    <w:rsid w:val="009E6896"/>
    <w:rsid w:val="009F1D40"/>
    <w:rsid w:val="009F3410"/>
    <w:rsid w:val="009F3A28"/>
    <w:rsid w:val="009F4574"/>
    <w:rsid w:val="00A02025"/>
    <w:rsid w:val="00A02928"/>
    <w:rsid w:val="00A03208"/>
    <w:rsid w:val="00A054DA"/>
    <w:rsid w:val="00A05625"/>
    <w:rsid w:val="00A05681"/>
    <w:rsid w:val="00A06952"/>
    <w:rsid w:val="00A104A5"/>
    <w:rsid w:val="00A10636"/>
    <w:rsid w:val="00A1064C"/>
    <w:rsid w:val="00A10D91"/>
    <w:rsid w:val="00A1180C"/>
    <w:rsid w:val="00A14A19"/>
    <w:rsid w:val="00A162BE"/>
    <w:rsid w:val="00A1743F"/>
    <w:rsid w:val="00A17797"/>
    <w:rsid w:val="00A219CB"/>
    <w:rsid w:val="00A2203D"/>
    <w:rsid w:val="00A234D3"/>
    <w:rsid w:val="00A24901"/>
    <w:rsid w:val="00A2697C"/>
    <w:rsid w:val="00A30E31"/>
    <w:rsid w:val="00A355AD"/>
    <w:rsid w:val="00A37210"/>
    <w:rsid w:val="00A4171B"/>
    <w:rsid w:val="00A42076"/>
    <w:rsid w:val="00A42F63"/>
    <w:rsid w:val="00A43289"/>
    <w:rsid w:val="00A460D1"/>
    <w:rsid w:val="00A4653F"/>
    <w:rsid w:val="00A47871"/>
    <w:rsid w:val="00A6082E"/>
    <w:rsid w:val="00A64144"/>
    <w:rsid w:val="00A6688A"/>
    <w:rsid w:val="00A673D9"/>
    <w:rsid w:val="00A67975"/>
    <w:rsid w:val="00A70578"/>
    <w:rsid w:val="00A71108"/>
    <w:rsid w:val="00A75619"/>
    <w:rsid w:val="00A75C7E"/>
    <w:rsid w:val="00A75E3A"/>
    <w:rsid w:val="00A76621"/>
    <w:rsid w:val="00A77690"/>
    <w:rsid w:val="00A81CFB"/>
    <w:rsid w:val="00A83352"/>
    <w:rsid w:val="00A86774"/>
    <w:rsid w:val="00A87C4E"/>
    <w:rsid w:val="00A902EF"/>
    <w:rsid w:val="00A9176C"/>
    <w:rsid w:val="00A946E6"/>
    <w:rsid w:val="00A94E56"/>
    <w:rsid w:val="00AA3158"/>
    <w:rsid w:val="00AA5519"/>
    <w:rsid w:val="00AB1BBE"/>
    <w:rsid w:val="00AB2353"/>
    <w:rsid w:val="00AB3094"/>
    <w:rsid w:val="00AB634D"/>
    <w:rsid w:val="00AC35FF"/>
    <w:rsid w:val="00AC473B"/>
    <w:rsid w:val="00AD1527"/>
    <w:rsid w:val="00AD282F"/>
    <w:rsid w:val="00AE0942"/>
    <w:rsid w:val="00AE3470"/>
    <w:rsid w:val="00AE40EB"/>
    <w:rsid w:val="00AE69E4"/>
    <w:rsid w:val="00AE70F3"/>
    <w:rsid w:val="00AF2408"/>
    <w:rsid w:val="00AF3A02"/>
    <w:rsid w:val="00AF3E5F"/>
    <w:rsid w:val="00B0135E"/>
    <w:rsid w:val="00B0282F"/>
    <w:rsid w:val="00B02CFF"/>
    <w:rsid w:val="00B0551D"/>
    <w:rsid w:val="00B05EDC"/>
    <w:rsid w:val="00B10653"/>
    <w:rsid w:val="00B12B68"/>
    <w:rsid w:val="00B15F06"/>
    <w:rsid w:val="00B170D2"/>
    <w:rsid w:val="00B175B8"/>
    <w:rsid w:val="00B17FA6"/>
    <w:rsid w:val="00B201FA"/>
    <w:rsid w:val="00B203BA"/>
    <w:rsid w:val="00B25096"/>
    <w:rsid w:val="00B26F27"/>
    <w:rsid w:val="00B2760E"/>
    <w:rsid w:val="00B310F7"/>
    <w:rsid w:val="00B32B1F"/>
    <w:rsid w:val="00B3313A"/>
    <w:rsid w:val="00B36714"/>
    <w:rsid w:val="00B36F49"/>
    <w:rsid w:val="00B41BEE"/>
    <w:rsid w:val="00B46362"/>
    <w:rsid w:val="00B46873"/>
    <w:rsid w:val="00B46E3A"/>
    <w:rsid w:val="00B52112"/>
    <w:rsid w:val="00B55C8E"/>
    <w:rsid w:val="00B5751A"/>
    <w:rsid w:val="00B60365"/>
    <w:rsid w:val="00B641EE"/>
    <w:rsid w:val="00B7637C"/>
    <w:rsid w:val="00B76EE6"/>
    <w:rsid w:val="00B7791D"/>
    <w:rsid w:val="00B81CD0"/>
    <w:rsid w:val="00B86341"/>
    <w:rsid w:val="00B92240"/>
    <w:rsid w:val="00B97BFC"/>
    <w:rsid w:val="00BA276B"/>
    <w:rsid w:val="00BA5528"/>
    <w:rsid w:val="00BA74DC"/>
    <w:rsid w:val="00BA75D8"/>
    <w:rsid w:val="00BB0679"/>
    <w:rsid w:val="00BB1B6D"/>
    <w:rsid w:val="00BB3D57"/>
    <w:rsid w:val="00BB5875"/>
    <w:rsid w:val="00BB71FC"/>
    <w:rsid w:val="00BC7E53"/>
    <w:rsid w:val="00BD44F3"/>
    <w:rsid w:val="00BD515E"/>
    <w:rsid w:val="00BD5420"/>
    <w:rsid w:val="00BD6EE4"/>
    <w:rsid w:val="00BD70EE"/>
    <w:rsid w:val="00BD7CB5"/>
    <w:rsid w:val="00BE1A37"/>
    <w:rsid w:val="00BE2CF8"/>
    <w:rsid w:val="00BE5381"/>
    <w:rsid w:val="00BE53CD"/>
    <w:rsid w:val="00BE58E4"/>
    <w:rsid w:val="00BF2355"/>
    <w:rsid w:val="00BF3C98"/>
    <w:rsid w:val="00BF592F"/>
    <w:rsid w:val="00BF6C18"/>
    <w:rsid w:val="00BF6EA4"/>
    <w:rsid w:val="00C04A1F"/>
    <w:rsid w:val="00C059BB"/>
    <w:rsid w:val="00C0729D"/>
    <w:rsid w:val="00C1231A"/>
    <w:rsid w:val="00C16D76"/>
    <w:rsid w:val="00C17379"/>
    <w:rsid w:val="00C1796D"/>
    <w:rsid w:val="00C25604"/>
    <w:rsid w:val="00C305AB"/>
    <w:rsid w:val="00C31B8D"/>
    <w:rsid w:val="00C35CBD"/>
    <w:rsid w:val="00C36AE2"/>
    <w:rsid w:val="00C4041F"/>
    <w:rsid w:val="00C40B3F"/>
    <w:rsid w:val="00C41A0D"/>
    <w:rsid w:val="00C428E2"/>
    <w:rsid w:val="00C44476"/>
    <w:rsid w:val="00C44B6F"/>
    <w:rsid w:val="00C45F95"/>
    <w:rsid w:val="00C46B73"/>
    <w:rsid w:val="00C516EC"/>
    <w:rsid w:val="00C52349"/>
    <w:rsid w:val="00C5354B"/>
    <w:rsid w:val="00C5367A"/>
    <w:rsid w:val="00C543E4"/>
    <w:rsid w:val="00C55039"/>
    <w:rsid w:val="00C64F3B"/>
    <w:rsid w:val="00C719AF"/>
    <w:rsid w:val="00C741F1"/>
    <w:rsid w:val="00C7446B"/>
    <w:rsid w:val="00C75FE7"/>
    <w:rsid w:val="00C76BCF"/>
    <w:rsid w:val="00C81B74"/>
    <w:rsid w:val="00C81E0D"/>
    <w:rsid w:val="00C834BA"/>
    <w:rsid w:val="00C85822"/>
    <w:rsid w:val="00C9167E"/>
    <w:rsid w:val="00C92480"/>
    <w:rsid w:val="00C96889"/>
    <w:rsid w:val="00CA1593"/>
    <w:rsid w:val="00CA26F7"/>
    <w:rsid w:val="00CA6548"/>
    <w:rsid w:val="00CA680A"/>
    <w:rsid w:val="00CB13BA"/>
    <w:rsid w:val="00CB1458"/>
    <w:rsid w:val="00CB1837"/>
    <w:rsid w:val="00CB5C57"/>
    <w:rsid w:val="00CB6DBD"/>
    <w:rsid w:val="00CC4E58"/>
    <w:rsid w:val="00CC6201"/>
    <w:rsid w:val="00CC6474"/>
    <w:rsid w:val="00CC6D3B"/>
    <w:rsid w:val="00CC765E"/>
    <w:rsid w:val="00CD7861"/>
    <w:rsid w:val="00CE05E1"/>
    <w:rsid w:val="00CE0773"/>
    <w:rsid w:val="00CE0BE8"/>
    <w:rsid w:val="00CE3350"/>
    <w:rsid w:val="00CE3C4A"/>
    <w:rsid w:val="00CE77E9"/>
    <w:rsid w:val="00CE78ED"/>
    <w:rsid w:val="00CE7BAD"/>
    <w:rsid w:val="00CF4F01"/>
    <w:rsid w:val="00CF5127"/>
    <w:rsid w:val="00D00A85"/>
    <w:rsid w:val="00D03A2E"/>
    <w:rsid w:val="00D04AD3"/>
    <w:rsid w:val="00D04B16"/>
    <w:rsid w:val="00D05E5F"/>
    <w:rsid w:val="00D131B4"/>
    <w:rsid w:val="00D14A5A"/>
    <w:rsid w:val="00D14CA3"/>
    <w:rsid w:val="00D14D73"/>
    <w:rsid w:val="00D15E01"/>
    <w:rsid w:val="00D20EB7"/>
    <w:rsid w:val="00D214FD"/>
    <w:rsid w:val="00D22D84"/>
    <w:rsid w:val="00D25485"/>
    <w:rsid w:val="00D25796"/>
    <w:rsid w:val="00D26E21"/>
    <w:rsid w:val="00D3315D"/>
    <w:rsid w:val="00D34EAF"/>
    <w:rsid w:val="00D35152"/>
    <w:rsid w:val="00D3535E"/>
    <w:rsid w:val="00D35875"/>
    <w:rsid w:val="00D43273"/>
    <w:rsid w:val="00D43CFA"/>
    <w:rsid w:val="00D453B6"/>
    <w:rsid w:val="00D4714C"/>
    <w:rsid w:val="00D519EA"/>
    <w:rsid w:val="00D53F51"/>
    <w:rsid w:val="00D57ECF"/>
    <w:rsid w:val="00D6097B"/>
    <w:rsid w:val="00D65850"/>
    <w:rsid w:val="00D65906"/>
    <w:rsid w:val="00D663F3"/>
    <w:rsid w:val="00D665AB"/>
    <w:rsid w:val="00D677A7"/>
    <w:rsid w:val="00D7177E"/>
    <w:rsid w:val="00D727C4"/>
    <w:rsid w:val="00D72A5E"/>
    <w:rsid w:val="00D73607"/>
    <w:rsid w:val="00D73C2A"/>
    <w:rsid w:val="00D7690A"/>
    <w:rsid w:val="00D76CD1"/>
    <w:rsid w:val="00D80F33"/>
    <w:rsid w:val="00D80FF8"/>
    <w:rsid w:val="00D83B1F"/>
    <w:rsid w:val="00D83DA5"/>
    <w:rsid w:val="00D846AB"/>
    <w:rsid w:val="00D86DA3"/>
    <w:rsid w:val="00D873CF"/>
    <w:rsid w:val="00D90FA8"/>
    <w:rsid w:val="00D910E4"/>
    <w:rsid w:val="00D92C24"/>
    <w:rsid w:val="00D933FC"/>
    <w:rsid w:val="00D94245"/>
    <w:rsid w:val="00D94262"/>
    <w:rsid w:val="00D95FE4"/>
    <w:rsid w:val="00D96CE0"/>
    <w:rsid w:val="00DA0981"/>
    <w:rsid w:val="00DA1514"/>
    <w:rsid w:val="00DA3041"/>
    <w:rsid w:val="00DA6FB1"/>
    <w:rsid w:val="00DA75D4"/>
    <w:rsid w:val="00DB0C76"/>
    <w:rsid w:val="00DB205D"/>
    <w:rsid w:val="00DB5F48"/>
    <w:rsid w:val="00DC0979"/>
    <w:rsid w:val="00DC29F2"/>
    <w:rsid w:val="00DC563E"/>
    <w:rsid w:val="00DC6F37"/>
    <w:rsid w:val="00DD0272"/>
    <w:rsid w:val="00DD5D22"/>
    <w:rsid w:val="00DD7F8E"/>
    <w:rsid w:val="00DE02ED"/>
    <w:rsid w:val="00DE0DD6"/>
    <w:rsid w:val="00DE127B"/>
    <w:rsid w:val="00DE2B03"/>
    <w:rsid w:val="00DE53B1"/>
    <w:rsid w:val="00DE5AB6"/>
    <w:rsid w:val="00DF0DA1"/>
    <w:rsid w:val="00DF1B92"/>
    <w:rsid w:val="00DF2A4F"/>
    <w:rsid w:val="00DF3874"/>
    <w:rsid w:val="00DF4978"/>
    <w:rsid w:val="00DF68E1"/>
    <w:rsid w:val="00DF7780"/>
    <w:rsid w:val="00E0438D"/>
    <w:rsid w:val="00E073DF"/>
    <w:rsid w:val="00E104A3"/>
    <w:rsid w:val="00E10772"/>
    <w:rsid w:val="00E123F8"/>
    <w:rsid w:val="00E12B9C"/>
    <w:rsid w:val="00E15698"/>
    <w:rsid w:val="00E1790F"/>
    <w:rsid w:val="00E20FB9"/>
    <w:rsid w:val="00E22FF8"/>
    <w:rsid w:val="00E26D41"/>
    <w:rsid w:val="00E32600"/>
    <w:rsid w:val="00E35E89"/>
    <w:rsid w:val="00E37BCF"/>
    <w:rsid w:val="00E43E27"/>
    <w:rsid w:val="00E440BF"/>
    <w:rsid w:val="00E478CA"/>
    <w:rsid w:val="00E51C0D"/>
    <w:rsid w:val="00E52C8A"/>
    <w:rsid w:val="00E54064"/>
    <w:rsid w:val="00E545FD"/>
    <w:rsid w:val="00E57EDC"/>
    <w:rsid w:val="00E631DB"/>
    <w:rsid w:val="00E64881"/>
    <w:rsid w:val="00E668FC"/>
    <w:rsid w:val="00E704A9"/>
    <w:rsid w:val="00E70A10"/>
    <w:rsid w:val="00E7307C"/>
    <w:rsid w:val="00E74F64"/>
    <w:rsid w:val="00E767A6"/>
    <w:rsid w:val="00E83496"/>
    <w:rsid w:val="00E8471C"/>
    <w:rsid w:val="00E86A6A"/>
    <w:rsid w:val="00E92D1B"/>
    <w:rsid w:val="00E94C9A"/>
    <w:rsid w:val="00E96E50"/>
    <w:rsid w:val="00EA0A57"/>
    <w:rsid w:val="00EA3830"/>
    <w:rsid w:val="00EA6A78"/>
    <w:rsid w:val="00EA6DAF"/>
    <w:rsid w:val="00EB0A80"/>
    <w:rsid w:val="00EC2C0D"/>
    <w:rsid w:val="00EC4EE8"/>
    <w:rsid w:val="00ED2705"/>
    <w:rsid w:val="00ED39D1"/>
    <w:rsid w:val="00ED4689"/>
    <w:rsid w:val="00ED5A16"/>
    <w:rsid w:val="00EE2904"/>
    <w:rsid w:val="00EE3444"/>
    <w:rsid w:val="00EE5685"/>
    <w:rsid w:val="00EE60E6"/>
    <w:rsid w:val="00EF030D"/>
    <w:rsid w:val="00EF4630"/>
    <w:rsid w:val="00EF46BF"/>
    <w:rsid w:val="00F006E7"/>
    <w:rsid w:val="00F01030"/>
    <w:rsid w:val="00F03B43"/>
    <w:rsid w:val="00F11127"/>
    <w:rsid w:val="00F1733B"/>
    <w:rsid w:val="00F248DD"/>
    <w:rsid w:val="00F25643"/>
    <w:rsid w:val="00F26180"/>
    <w:rsid w:val="00F278E0"/>
    <w:rsid w:val="00F31F99"/>
    <w:rsid w:val="00F3270C"/>
    <w:rsid w:val="00F344DD"/>
    <w:rsid w:val="00F37C0F"/>
    <w:rsid w:val="00F42C65"/>
    <w:rsid w:val="00F5062A"/>
    <w:rsid w:val="00F55B53"/>
    <w:rsid w:val="00F5702E"/>
    <w:rsid w:val="00F67B49"/>
    <w:rsid w:val="00F67BC9"/>
    <w:rsid w:val="00F71196"/>
    <w:rsid w:val="00F7247C"/>
    <w:rsid w:val="00F74D98"/>
    <w:rsid w:val="00F7683D"/>
    <w:rsid w:val="00F8065D"/>
    <w:rsid w:val="00F8139B"/>
    <w:rsid w:val="00F81DA7"/>
    <w:rsid w:val="00F83379"/>
    <w:rsid w:val="00F85C9F"/>
    <w:rsid w:val="00F86527"/>
    <w:rsid w:val="00F87C48"/>
    <w:rsid w:val="00F9018A"/>
    <w:rsid w:val="00F90D50"/>
    <w:rsid w:val="00F912A5"/>
    <w:rsid w:val="00F921A7"/>
    <w:rsid w:val="00F924AB"/>
    <w:rsid w:val="00F94749"/>
    <w:rsid w:val="00F9718B"/>
    <w:rsid w:val="00F97CE6"/>
    <w:rsid w:val="00FA1683"/>
    <w:rsid w:val="00FA1C46"/>
    <w:rsid w:val="00FA310F"/>
    <w:rsid w:val="00FA55C4"/>
    <w:rsid w:val="00FA57F3"/>
    <w:rsid w:val="00FB04A1"/>
    <w:rsid w:val="00FB140C"/>
    <w:rsid w:val="00FB6AF5"/>
    <w:rsid w:val="00FB6B17"/>
    <w:rsid w:val="00FC3716"/>
    <w:rsid w:val="00FC4AE4"/>
    <w:rsid w:val="00FC53C2"/>
    <w:rsid w:val="00FD0574"/>
    <w:rsid w:val="00FD4DC6"/>
    <w:rsid w:val="00FE337B"/>
    <w:rsid w:val="00FF0B3C"/>
    <w:rsid w:val="00FF5BB0"/>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8AF94"/>
  <w15:docId w15:val="{E0006970-A241-4BC0-9E48-BB741FBA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8F"/>
    <w:pPr>
      <w:widowControl w:val="0"/>
    </w:pPr>
    <w:rPr>
      <w:rFonts w:ascii="Times New Roman" w:eastAsia="Times New Roman" w:hAnsi="Times New Roman" w:cs="Times New Roman"/>
    </w:rPr>
  </w:style>
  <w:style w:type="paragraph" w:styleId="Heading1">
    <w:name w:val="heading 1"/>
    <w:basedOn w:val="Normal"/>
    <w:link w:val="Heading1Char"/>
    <w:uiPriority w:val="9"/>
    <w:qFormat/>
    <w:rsid w:val="00840C8F"/>
    <w:pPr>
      <w:outlineLvl w:val="0"/>
    </w:pPr>
    <w:rPr>
      <w:b/>
      <w:bCs/>
      <w:sz w:val="25"/>
      <w:szCs w:val="25"/>
    </w:rPr>
  </w:style>
  <w:style w:type="paragraph" w:styleId="Heading2">
    <w:name w:val="heading 2"/>
    <w:basedOn w:val="Normal"/>
    <w:next w:val="Normal"/>
    <w:link w:val="Heading2Char"/>
    <w:uiPriority w:val="9"/>
    <w:unhideWhenUsed/>
    <w:qFormat/>
    <w:rsid w:val="00420C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13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613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5B0"/>
    <w:pPr>
      <w:spacing w:before="240" w:line="240" w:lineRule="auto"/>
      <w:ind w:left="864" w:right="187" w:hanging="720"/>
      <w:jc w:val="both"/>
    </w:pPr>
    <w:rPr>
      <w:sz w:val="24"/>
      <w:szCs w:val="25"/>
    </w:rPr>
  </w:style>
  <w:style w:type="paragraph" w:styleId="TOC2">
    <w:name w:val="toc 2"/>
    <w:basedOn w:val="Normal"/>
    <w:uiPriority w:val="39"/>
    <w:qFormat/>
    <w:rsid w:val="00DA0981"/>
    <w:pPr>
      <w:spacing w:line="240" w:lineRule="auto"/>
      <w:ind w:left="720"/>
      <w:contextualSpacing/>
    </w:pPr>
    <w:rPr>
      <w:szCs w:val="25"/>
    </w:rPr>
  </w:style>
  <w:style w:type="paragraph" w:styleId="BodyText">
    <w:name w:val="Body Text"/>
    <w:basedOn w:val="Normal"/>
    <w:link w:val="BodyTextChar"/>
    <w:uiPriority w:val="1"/>
    <w:qFormat/>
    <w:rsid w:val="004F3A02"/>
    <w:pPr>
      <w:ind w:firstLine="720"/>
      <w:jc w:val="both"/>
    </w:pPr>
    <w:rPr>
      <w:sz w:val="24"/>
      <w:szCs w:val="25"/>
    </w:rPr>
  </w:style>
  <w:style w:type="paragraph" w:styleId="ListParagraph">
    <w:name w:val="List Paragraph"/>
    <w:basedOn w:val="Normal"/>
    <w:uiPriority w:val="34"/>
    <w:qFormat/>
    <w:pPr>
      <w:ind w:left="849" w:right="126" w:hanging="721"/>
      <w:jc w:val="both"/>
    </w:pPr>
  </w:style>
  <w:style w:type="paragraph" w:customStyle="1" w:styleId="TableParagraph">
    <w:name w:val="Table Paragraph"/>
    <w:basedOn w:val="Normal"/>
    <w:uiPriority w:val="1"/>
    <w:qFormat/>
  </w:style>
  <w:style w:type="table" w:styleId="TableGrid">
    <w:name w:val="Table Grid"/>
    <w:basedOn w:val="TableNormal"/>
    <w:uiPriority w:val="39"/>
    <w:rsid w:val="00CE3350"/>
    <w:rPr>
      <w:rFonts w:eastAsiaTheme="minorEastAsia"/>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FB8"/>
    <w:rPr>
      <w:color w:val="0000FF"/>
      <w:u w:val="single"/>
    </w:rPr>
  </w:style>
  <w:style w:type="paragraph" w:styleId="Header">
    <w:name w:val="header"/>
    <w:basedOn w:val="Normal"/>
    <w:link w:val="HeaderChar"/>
    <w:uiPriority w:val="99"/>
    <w:unhideWhenUsed/>
    <w:rsid w:val="00AA3158"/>
    <w:pPr>
      <w:tabs>
        <w:tab w:val="center" w:pos="4680"/>
        <w:tab w:val="right" w:pos="9360"/>
      </w:tabs>
    </w:pPr>
  </w:style>
  <w:style w:type="character" w:customStyle="1" w:styleId="HeaderChar">
    <w:name w:val="Header Char"/>
    <w:basedOn w:val="DefaultParagraphFont"/>
    <w:link w:val="Header"/>
    <w:uiPriority w:val="99"/>
    <w:rsid w:val="00AA3158"/>
    <w:rPr>
      <w:rFonts w:ascii="Times New Roman" w:eastAsia="Times New Roman" w:hAnsi="Times New Roman" w:cs="Times New Roman"/>
    </w:rPr>
  </w:style>
  <w:style w:type="paragraph" w:styleId="Footer">
    <w:name w:val="footer"/>
    <w:basedOn w:val="Normal"/>
    <w:link w:val="FooterChar"/>
    <w:uiPriority w:val="99"/>
    <w:unhideWhenUsed/>
    <w:rsid w:val="00AA3158"/>
    <w:pPr>
      <w:tabs>
        <w:tab w:val="center" w:pos="4680"/>
        <w:tab w:val="right" w:pos="9360"/>
      </w:tabs>
    </w:pPr>
  </w:style>
  <w:style w:type="character" w:customStyle="1" w:styleId="FooterChar">
    <w:name w:val="Footer Char"/>
    <w:basedOn w:val="DefaultParagraphFont"/>
    <w:link w:val="Footer"/>
    <w:uiPriority w:val="99"/>
    <w:rsid w:val="00AA315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20C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613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613EA"/>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10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469"/>
    <w:rPr>
      <w:rFonts w:ascii="Segoe UI" w:eastAsia="Times New Roman" w:hAnsi="Segoe UI" w:cs="Segoe UI"/>
      <w:sz w:val="18"/>
      <w:szCs w:val="18"/>
    </w:rPr>
  </w:style>
  <w:style w:type="character" w:customStyle="1" w:styleId="js-about-item-abstr">
    <w:name w:val="js-about-item-abstr"/>
    <w:basedOn w:val="DefaultParagraphFont"/>
    <w:rsid w:val="00A75E3A"/>
  </w:style>
  <w:style w:type="character" w:styleId="CommentReference">
    <w:name w:val="annotation reference"/>
    <w:basedOn w:val="DefaultParagraphFont"/>
    <w:uiPriority w:val="99"/>
    <w:semiHidden/>
    <w:unhideWhenUsed/>
    <w:rsid w:val="00265520"/>
    <w:rPr>
      <w:sz w:val="16"/>
      <w:szCs w:val="16"/>
    </w:rPr>
  </w:style>
  <w:style w:type="paragraph" w:styleId="CommentText">
    <w:name w:val="annotation text"/>
    <w:basedOn w:val="Normal"/>
    <w:link w:val="CommentTextChar"/>
    <w:uiPriority w:val="99"/>
    <w:unhideWhenUsed/>
    <w:rsid w:val="00265520"/>
    <w:rPr>
      <w:sz w:val="20"/>
      <w:szCs w:val="20"/>
    </w:rPr>
  </w:style>
  <w:style w:type="character" w:customStyle="1" w:styleId="CommentTextChar">
    <w:name w:val="Comment Text Char"/>
    <w:basedOn w:val="DefaultParagraphFont"/>
    <w:link w:val="CommentText"/>
    <w:uiPriority w:val="99"/>
    <w:rsid w:val="00265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520"/>
    <w:rPr>
      <w:b/>
      <w:bCs/>
    </w:rPr>
  </w:style>
  <w:style w:type="character" w:customStyle="1" w:styleId="CommentSubjectChar">
    <w:name w:val="Comment Subject Char"/>
    <w:basedOn w:val="CommentTextChar"/>
    <w:link w:val="CommentSubject"/>
    <w:uiPriority w:val="99"/>
    <w:semiHidden/>
    <w:rsid w:val="00265520"/>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sid w:val="008F4B41"/>
    <w:rPr>
      <w:vertAlign w:val="superscript"/>
    </w:rPr>
  </w:style>
  <w:style w:type="character" w:customStyle="1" w:styleId="UnresolvedMention1">
    <w:name w:val="Unresolved Mention1"/>
    <w:basedOn w:val="DefaultParagraphFont"/>
    <w:uiPriority w:val="99"/>
    <w:semiHidden/>
    <w:unhideWhenUsed/>
    <w:rsid w:val="003D4494"/>
    <w:rPr>
      <w:color w:val="605E5C"/>
      <w:shd w:val="clear" w:color="auto" w:fill="E1DFDD"/>
    </w:rPr>
  </w:style>
  <w:style w:type="paragraph" w:styleId="FootnoteText">
    <w:name w:val="footnote text"/>
    <w:basedOn w:val="Normal"/>
    <w:link w:val="FootnoteTextChar"/>
    <w:uiPriority w:val="99"/>
    <w:unhideWhenUsed/>
    <w:rsid w:val="002514B0"/>
    <w:pPr>
      <w:spacing w:line="240" w:lineRule="auto"/>
      <w:contextualSpacing/>
    </w:pPr>
    <w:rPr>
      <w:sz w:val="20"/>
      <w:szCs w:val="20"/>
    </w:rPr>
  </w:style>
  <w:style w:type="character" w:customStyle="1" w:styleId="FootnoteTextChar">
    <w:name w:val="Footnote Text Char"/>
    <w:basedOn w:val="DefaultParagraphFont"/>
    <w:link w:val="FootnoteText"/>
    <w:uiPriority w:val="99"/>
    <w:rsid w:val="002514B0"/>
    <w:rPr>
      <w:rFonts w:ascii="Times New Roman" w:eastAsia="Times New Roman" w:hAnsi="Times New Roman" w:cs="Times New Roman"/>
      <w:sz w:val="20"/>
      <w:szCs w:val="20"/>
    </w:rPr>
  </w:style>
  <w:style w:type="paragraph" w:customStyle="1" w:styleId="m6331437889019663255gmail-m3979550720487559644msolistparagraph">
    <w:name w:val="m_6331437889019663255gmail-m_3979550720487559644msolistparagraph"/>
    <w:basedOn w:val="Normal"/>
    <w:rsid w:val="00A47871"/>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E8471C"/>
    <w:rPr>
      <w:color w:val="605E5C"/>
      <w:shd w:val="clear" w:color="auto" w:fill="E1DFDD"/>
    </w:rPr>
  </w:style>
  <w:style w:type="character" w:styleId="HTMLCite">
    <w:name w:val="HTML Cite"/>
    <w:basedOn w:val="DefaultParagraphFont"/>
    <w:uiPriority w:val="99"/>
    <w:semiHidden/>
    <w:unhideWhenUsed/>
    <w:rsid w:val="00E8471C"/>
    <w:rPr>
      <w:i/>
      <w:iCs/>
    </w:rPr>
  </w:style>
  <w:style w:type="character" w:styleId="Emphasis">
    <w:name w:val="Emphasis"/>
    <w:basedOn w:val="DefaultParagraphFont"/>
    <w:uiPriority w:val="20"/>
    <w:qFormat/>
    <w:rsid w:val="00E8471C"/>
    <w:rPr>
      <w:i/>
      <w:iCs/>
    </w:rPr>
  </w:style>
  <w:style w:type="character" w:customStyle="1" w:styleId="Heading1Char">
    <w:name w:val="Heading 1 Char"/>
    <w:basedOn w:val="DefaultParagraphFont"/>
    <w:link w:val="Heading1"/>
    <w:uiPriority w:val="9"/>
    <w:rsid w:val="00840C8F"/>
    <w:rPr>
      <w:rFonts w:ascii="Times New Roman" w:eastAsia="Times New Roman" w:hAnsi="Times New Roman" w:cs="Times New Roman"/>
      <w:b/>
      <w:bCs/>
      <w:sz w:val="25"/>
      <w:szCs w:val="25"/>
    </w:rPr>
  </w:style>
  <w:style w:type="character" w:customStyle="1" w:styleId="BodyTextChar">
    <w:name w:val="Body Text Char"/>
    <w:basedOn w:val="DefaultParagraphFont"/>
    <w:link w:val="BodyText"/>
    <w:uiPriority w:val="1"/>
    <w:rsid w:val="004F3A02"/>
    <w:rPr>
      <w:rFonts w:ascii="Times New Roman" w:eastAsia="Times New Roman" w:hAnsi="Times New Roman" w:cs="Times New Roman"/>
      <w:sz w:val="24"/>
      <w:szCs w:val="25"/>
    </w:rPr>
  </w:style>
  <w:style w:type="character" w:customStyle="1" w:styleId="qu">
    <w:name w:val="qu"/>
    <w:basedOn w:val="DefaultParagraphFont"/>
    <w:rsid w:val="003C4B89"/>
  </w:style>
  <w:style w:type="character" w:customStyle="1" w:styleId="gd">
    <w:name w:val="gd"/>
    <w:basedOn w:val="DefaultParagraphFont"/>
    <w:rsid w:val="003C4B89"/>
  </w:style>
  <w:style w:type="character" w:customStyle="1" w:styleId="go">
    <w:name w:val="go"/>
    <w:basedOn w:val="DefaultParagraphFont"/>
    <w:rsid w:val="003C4B89"/>
  </w:style>
  <w:style w:type="character" w:customStyle="1" w:styleId="g3">
    <w:name w:val="g3"/>
    <w:basedOn w:val="DefaultParagraphFont"/>
    <w:rsid w:val="003C4B89"/>
  </w:style>
  <w:style w:type="character" w:customStyle="1" w:styleId="hb">
    <w:name w:val="hb"/>
    <w:basedOn w:val="DefaultParagraphFont"/>
    <w:rsid w:val="003C4B89"/>
  </w:style>
  <w:style w:type="character" w:customStyle="1" w:styleId="g2">
    <w:name w:val="g2"/>
    <w:basedOn w:val="DefaultParagraphFont"/>
    <w:rsid w:val="003C4B89"/>
  </w:style>
  <w:style w:type="character" w:customStyle="1" w:styleId="gmaildefault">
    <w:name w:val="gmail_default"/>
    <w:basedOn w:val="DefaultParagraphFont"/>
    <w:rsid w:val="003C4B89"/>
  </w:style>
  <w:style w:type="paragraph" w:styleId="PlainText">
    <w:name w:val="Plain Text"/>
    <w:basedOn w:val="Normal"/>
    <w:link w:val="PlainTextChar"/>
    <w:uiPriority w:val="99"/>
    <w:unhideWhenUsed/>
    <w:rsid w:val="001A01F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A01FC"/>
    <w:rPr>
      <w:rFonts w:ascii="Consolas" w:hAnsi="Consolas"/>
      <w:sz w:val="21"/>
      <w:szCs w:val="21"/>
    </w:rPr>
  </w:style>
  <w:style w:type="paragraph" w:styleId="HTMLPreformatted">
    <w:name w:val="HTML Preformatted"/>
    <w:basedOn w:val="Normal"/>
    <w:link w:val="HTMLPreformattedChar"/>
    <w:uiPriority w:val="99"/>
    <w:unhideWhenUsed/>
    <w:rsid w:val="001A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A01FC"/>
    <w:rPr>
      <w:rFonts w:ascii="Courier New" w:eastAsia="Times New Roman" w:hAnsi="Courier New" w:cs="Courier New"/>
      <w:sz w:val="20"/>
      <w:szCs w:val="20"/>
    </w:rPr>
  </w:style>
  <w:style w:type="character" w:styleId="PlaceholderText">
    <w:name w:val="Placeholder Text"/>
    <w:basedOn w:val="DefaultParagraphFont"/>
    <w:uiPriority w:val="99"/>
    <w:semiHidden/>
    <w:rsid w:val="00743A0D"/>
    <w:rPr>
      <w:color w:val="808080"/>
    </w:rPr>
  </w:style>
  <w:style w:type="character" w:styleId="FollowedHyperlink">
    <w:name w:val="FollowedHyperlink"/>
    <w:basedOn w:val="DefaultParagraphFont"/>
    <w:uiPriority w:val="99"/>
    <w:semiHidden/>
    <w:unhideWhenUsed/>
    <w:rsid w:val="00F71196"/>
    <w:rPr>
      <w:color w:val="800080" w:themeColor="followedHyperlink"/>
      <w:u w:val="single"/>
    </w:rPr>
  </w:style>
  <w:style w:type="paragraph" w:styleId="Revision">
    <w:name w:val="Revision"/>
    <w:hidden/>
    <w:uiPriority w:val="99"/>
    <w:semiHidden/>
    <w:rsid w:val="00953137"/>
    <w:pPr>
      <w:spacing w:line="240" w:lineRule="auto"/>
    </w:pPr>
    <w:rPr>
      <w:rFonts w:ascii="Times New Roman" w:eastAsia="Times New Roman" w:hAnsi="Times New Roman" w:cs="Times New Roman"/>
    </w:rPr>
  </w:style>
  <w:style w:type="paragraph" w:customStyle="1" w:styleId="action-menu-item">
    <w:name w:val="action-menu-item"/>
    <w:basedOn w:val="Normal"/>
    <w:rsid w:val="00C55039"/>
    <w:pPr>
      <w:spacing w:before="100" w:beforeAutospacing="1" w:after="100" w:afterAutospacing="1" w:line="240" w:lineRule="auto"/>
    </w:pPr>
    <w:rPr>
      <w:sz w:val="24"/>
      <w:szCs w:val="24"/>
    </w:rPr>
  </w:style>
  <w:style w:type="paragraph" w:styleId="TOC3">
    <w:name w:val="toc 3"/>
    <w:basedOn w:val="Normal"/>
    <w:next w:val="Normal"/>
    <w:autoRedefine/>
    <w:uiPriority w:val="39"/>
    <w:unhideWhenUsed/>
    <w:rsid w:val="00511610"/>
    <w:pPr>
      <w:spacing w:after="100"/>
      <w:ind w:left="440"/>
    </w:pPr>
  </w:style>
  <w:style w:type="character" w:customStyle="1" w:styleId="UnresolvedMention3">
    <w:name w:val="Unresolved Mention3"/>
    <w:basedOn w:val="DefaultParagraphFont"/>
    <w:uiPriority w:val="99"/>
    <w:semiHidden/>
    <w:unhideWhenUsed/>
    <w:rsid w:val="00C543E4"/>
    <w:rPr>
      <w:color w:val="605E5C"/>
      <w:shd w:val="clear" w:color="auto" w:fill="E1DFDD"/>
    </w:rPr>
  </w:style>
  <w:style w:type="paragraph" w:styleId="EndnoteText">
    <w:name w:val="endnote text"/>
    <w:basedOn w:val="Normal"/>
    <w:link w:val="EndnoteTextChar"/>
    <w:uiPriority w:val="99"/>
    <w:semiHidden/>
    <w:unhideWhenUsed/>
    <w:rsid w:val="00C543E4"/>
    <w:pPr>
      <w:spacing w:line="240" w:lineRule="auto"/>
    </w:pPr>
    <w:rPr>
      <w:sz w:val="20"/>
      <w:szCs w:val="20"/>
    </w:rPr>
  </w:style>
  <w:style w:type="character" w:customStyle="1" w:styleId="EndnoteTextChar">
    <w:name w:val="Endnote Text Char"/>
    <w:basedOn w:val="DefaultParagraphFont"/>
    <w:link w:val="EndnoteText"/>
    <w:uiPriority w:val="99"/>
    <w:semiHidden/>
    <w:rsid w:val="00C543E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543E4"/>
    <w:rPr>
      <w:vertAlign w:val="superscript"/>
    </w:rPr>
  </w:style>
  <w:style w:type="character" w:styleId="SubtleReference">
    <w:name w:val="Subtle Reference"/>
    <w:basedOn w:val="DefaultParagraphFont"/>
    <w:uiPriority w:val="31"/>
    <w:qFormat/>
    <w:rsid w:val="00C5354B"/>
    <w:rPr>
      <w:smallCaps/>
      <w:color w:val="5A5A5A" w:themeColor="text1" w:themeTint="A5"/>
    </w:rPr>
  </w:style>
  <w:style w:type="character" w:styleId="IntenseReference">
    <w:name w:val="Intense Reference"/>
    <w:basedOn w:val="DefaultParagraphFont"/>
    <w:uiPriority w:val="32"/>
    <w:qFormat/>
    <w:rsid w:val="00C5354B"/>
    <w:rPr>
      <w:b/>
      <w:bCs/>
      <w:smallCaps/>
      <w:color w:val="4F81BD" w:themeColor="accent1"/>
      <w:spacing w:val="5"/>
    </w:rPr>
  </w:style>
  <w:style w:type="paragraph" w:styleId="Quote">
    <w:name w:val="Quote"/>
    <w:basedOn w:val="Normal"/>
    <w:next w:val="Normal"/>
    <w:link w:val="QuoteChar"/>
    <w:uiPriority w:val="29"/>
    <w:qFormat/>
    <w:rsid w:val="004F3A02"/>
    <w:pPr>
      <w:spacing w:before="120" w:after="360" w:line="240" w:lineRule="auto"/>
      <w:ind w:left="864" w:right="864"/>
      <w:contextualSpacing/>
      <w:jc w:val="both"/>
    </w:pPr>
    <w:rPr>
      <w:iCs/>
      <w:sz w:val="24"/>
    </w:rPr>
  </w:style>
  <w:style w:type="character" w:customStyle="1" w:styleId="QuoteChar">
    <w:name w:val="Quote Char"/>
    <w:basedOn w:val="DefaultParagraphFont"/>
    <w:link w:val="Quote"/>
    <w:uiPriority w:val="29"/>
    <w:rsid w:val="004F3A02"/>
    <w:rPr>
      <w:rFonts w:ascii="Times New Roman" w:eastAsia="Times New Roman" w:hAnsi="Times New Roman" w:cs="Times New Roman"/>
      <w:iCs/>
      <w:sz w:val="24"/>
    </w:rPr>
  </w:style>
  <w:style w:type="character" w:styleId="Strong">
    <w:name w:val="Strong"/>
    <w:basedOn w:val="DefaultParagraphFont"/>
    <w:uiPriority w:val="22"/>
    <w:qFormat/>
    <w:rsid w:val="00C5354B"/>
    <w:rPr>
      <w:b/>
      <w:bCs/>
    </w:rPr>
  </w:style>
  <w:style w:type="character" w:styleId="IntenseEmphasis">
    <w:name w:val="Intense Emphasis"/>
    <w:basedOn w:val="DefaultParagraphFont"/>
    <w:uiPriority w:val="21"/>
    <w:qFormat/>
    <w:rsid w:val="00C5354B"/>
    <w:rPr>
      <w:i/>
      <w:iCs/>
      <w:color w:val="4F81BD" w:themeColor="accent1"/>
    </w:rPr>
  </w:style>
  <w:style w:type="character" w:styleId="SubtleEmphasis">
    <w:name w:val="Subtle Emphasis"/>
    <w:basedOn w:val="DefaultParagraphFont"/>
    <w:uiPriority w:val="19"/>
    <w:qFormat/>
    <w:rsid w:val="00C5354B"/>
    <w:rPr>
      <w:i/>
      <w:iCs/>
      <w:color w:val="404040" w:themeColor="text1" w:themeTint="BF"/>
    </w:rPr>
  </w:style>
  <w:style w:type="paragraph" w:styleId="Subtitle">
    <w:name w:val="Subtitle"/>
    <w:basedOn w:val="Normal"/>
    <w:next w:val="Normal"/>
    <w:link w:val="SubtitleChar"/>
    <w:uiPriority w:val="11"/>
    <w:qFormat/>
    <w:rsid w:val="00C5354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354B"/>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94353A"/>
    <w:rPr>
      <w:color w:val="605E5C"/>
      <w:shd w:val="clear" w:color="auto" w:fill="E1DFDD"/>
    </w:rPr>
  </w:style>
  <w:style w:type="character" w:customStyle="1" w:styleId="il">
    <w:name w:val="il"/>
    <w:basedOn w:val="DefaultParagraphFont"/>
    <w:rsid w:val="004A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324">
      <w:bodyDiv w:val="1"/>
      <w:marLeft w:val="0"/>
      <w:marRight w:val="0"/>
      <w:marTop w:val="0"/>
      <w:marBottom w:val="0"/>
      <w:divBdr>
        <w:top w:val="none" w:sz="0" w:space="0" w:color="auto"/>
        <w:left w:val="none" w:sz="0" w:space="0" w:color="auto"/>
        <w:bottom w:val="none" w:sz="0" w:space="0" w:color="auto"/>
        <w:right w:val="none" w:sz="0" w:space="0" w:color="auto"/>
      </w:divBdr>
      <w:divsChild>
        <w:div w:id="916283103">
          <w:marLeft w:val="0"/>
          <w:marRight w:val="0"/>
          <w:marTop w:val="0"/>
          <w:marBottom w:val="0"/>
          <w:divBdr>
            <w:top w:val="none" w:sz="0" w:space="0" w:color="auto"/>
            <w:left w:val="none" w:sz="0" w:space="0" w:color="auto"/>
            <w:bottom w:val="none" w:sz="0" w:space="0" w:color="auto"/>
            <w:right w:val="none" w:sz="0" w:space="0" w:color="auto"/>
          </w:divBdr>
        </w:div>
        <w:div w:id="648363639">
          <w:marLeft w:val="45"/>
          <w:marRight w:val="45"/>
          <w:marTop w:val="15"/>
          <w:marBottom w:val="0"/>
          <w:divBdr>
            <w:top w:val="none" w:sz="0" w:space="0" w:color="auto"/>
            <w:left w:val="none" w:sz="0" w:space="0" w:color="auto"/>
            <w:bottom w:val="none" w:sz="0" w:space="0" w:color="auto"/>
            <w:right w:val="none" w:sz="0" w:space="0" w:color="auto"/>
          </w:divBdr>
          <w:divsChild>
            <w:div w:id="20027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1458">
      <w:bodyDiv w:val="1"/>
      <w:marLeft w:val="0"/>
      <w:marRight w:val="0"/>
      <w:marTop w:val="0"/>
      <w:marBottom w:val="0"/>
      <w:divBdr>
        <w:top w:val="none" w:sz="0" w:space="0" w:color="auto"/>
        <w:left w:val="none" w:sz="0" w:space="0" w:color="auto"/>
        <w:bottom w:val="none" w:sz="0" w:space="0" w:color="auto"/>
        <w:right w:val="none" w:sz="0" w:space="0" w:color="auto"/>
      </w:divBdr>
      <w:divsChild>
        <w:div w:id="1660956909">
          <w:marLeft w:val="0"/>
          <w:marRight w:val="0"/>
          <w:marTop w:val="0"/>
          <w:marBottom w:val="0"/>
          <w:divBdr>
            <w:top w:val="none" w:sz="0" w:space="0" w:color="auto"/>
            <w:left w:val="none" w:sz="0" w:space="0" w:color="auto"/>
            <w:bottom w:val="none" w:sz="0" w:space="0" w:color="auto"/>
            <w:right w:val="none" w:sz="0" w:space="0" w:color="auto"/>
          </w:divBdr>
        </w:div>
      </w:divsChild>
    </w:div>
    <w:div w:id="267663064">
      <w:bodyDiv w:val="1"/>
      <w:marLeft w:val="0"/>
      <w:marRight w:val="0"/>
      <w:marTop w:val="0"/>
      <w:marBottom w:val="0"/>
      <w:divBdr>
        <w:top w:val="none" w:sz="0" w:space="0" w:color="auto"/>
        <w:left w:val="none" w:sz="0" w:space="0" w:color="auto"/>
        <w:bottom w:val="none" w:sz="0" w:space="0" w:color="auto"/>
        <w:right w:val="none" w:sz="0" w:space="0" w:color="auto"/>
      </w:divBdr>
      <w:divsChild>
        <w:div w:id="462961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765513">
              <w:marLeft w:val="0"/>
              <w:marRight w:val="0"/>
              <w:marTop w:val="0"/>
              <w:marBottom w:val="0"/>
              <w:divBdr>
                <w:top w:val="none" w:sz="0" w:space="0" w:color="auto"/>
                <w:left w:val="none" w:sz="0" w:space="0" w:color="auto"/>
                <w:bottom w:val="none" w:sz="0" w:space="0" w:color="auto"/>
                <w:right w:val="none" w:sz="0" w:space="0" w:color="auto"/>
              </w:divBdr>
              <w:divsChild>
                <w:div w:id="1887909346">
                  <w:marLeft w:val="0"/>
                  <w:marRight w:val="0"/>
                  <w:marTop w:val="0"/>
                  <w:marBottom w:val="0"/>
                  <w:divBdr>
                    <w:top w:val="none" w:sz="0" w:space="0" w:color="auto"/>
                    <w:left w:val="none" w:sz="0" w:space="0" w:color="auto"/>
                    <w:bottom w:val="none" w:sz="0" w:space="0" w:color="auto"/>
                    <w:right w:val="none" w:sz="0" w:space="0" w:color="auto"/>
                  </w:divBdr>
                  <w:divsChild>
                    <w:div w:id="1327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9517">
      <w:bodyDiv w:val="1"/>
      <w:marLeft w:val="0"/>
      <w:marRight w:val="0"/>
      <w:marTop w:val="0"/>
      <w:marBottom w:val="0"/>
      <w:divBdr>
        <w:top w:val="none" w:sz="0" w:space="0" w:color="auto"/>
        <w:left w:val="none" w:sz="0" w:space="0" w:color="auto"/>
        <w:bottom w:val="none" w:sz="0" w:space="0" w:color="auto"/>
        <w:right w:val="none" w:sz="0" w:space="0" w:color="auto"/>
      </w:divBdr>
    </w:div>
    <w:div w:id="796798768">
      <w:bodyDiv w:val="1"/>
      <w:marLeft w:val="0"/>
      <w:marRight w:val="0"/>
      <w:marTop w:val="0"/>
      <w:marBottom w:val="0"/>
      <w:divBdr>
        <w:top w:val="none" w:sz="0" w:space="0" w:color="auto"/>
        <w:left w:val="none" w:sz="0" w:space="0" w:color="auto"/>
        <w:bottom w:val="none" w:sz="0" w:space="0" w:color="auto"/>
        <w:right w:val="none" w:sz="0" w:space="0" w:color="auto"/>
      </w:divBdr>
      <w:divsChild>
        <w:div w:id="1781953952">
          <w:marLeft w:val="0"/>
          <w:marRight w:val="0"/>
          <w:marTop w:val="0"/>
          <w:marBottom w:val="0"/>
          <w:divBdr>
            <w:top w:val="none" w:sz="0" w:space="0" w:color="auto"/>
            <w:left w:val="none" w:sz="0" w:space="0" w:color="auto"/>
            <w:bottom w:val="none" w:sz="0" w:space="0" w:color="auto"/>
            <w:right w:val="none" w:sz="0" w:space="0" w:color="auto"/>
          </w:divBdr>
        </w:div>
        <w:div w:id="1849054499">
          <w:marLeft w:val="45"/>
          <w:marRight w:val="45"/>
          <w:marTop w:val="15"/>
          <w:marBottom w:val="0"/>
          <w:divBdr>
            <w:top w:val="none" w:sz="0" w:space="0" w:color="auto"/>
            <w:left w:val="none" w:sz="0" w:space="0" w:color="auto"/>
            <w:bottom w:val="none" w:sz="0" w:space="0" w:color="auto"/>
            <w:right w:val="none" w:sz="0" w:space="0" w:color="auto"/>
          </w:divBdr>
          <w:divsChild>
            <w:div w:id="301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8021">
      <w:bodyDiv w:val="1"/>
      <w:marLeft w:val="0"/>
      <w:marRight w:val="0"/>
      <w:marTop w:val="0"/>
      <w:marBottom w:val="0"/>
      <w:divBdr>
        <w:top w:val="none" w:sz="0" w:space="0" w:color="auto"/>
        <w:left w:val="none" w:sz="0" w:space="0" w:color="auto"/>
        <w:bottom w:val="none" w:sz="0" w:space="0" w:color="auto"/>
        <w:right w:val="none" w:sz="0" w:space="0" w:color="auto"/>
      </w:divBdr>
      <w:divsChild>
        <w:div w:id="1014453729">
          <w:marLeft w:val="0"/>
          <w:marRight w:val="0"/>
          <w:marTop w:val="0"/>
          <w:marBottom w:val="0"/>
          <w:divBdr>
            <w:top w:val="none" w:sz="0" w:space="0" w:color="auto"/>
            <w:left w:val="none" w:sz="0" w:space="0" w:color="auto"/>
            <w:bottom w:val="none" w:sz="0" w:space="0" w:color="auto"/>
            <w:right w:val="none" w:sz="0" w:space="0" w:color="auto"/>
          </w:divBdr>
        </w:div>
      </w:divsChild>
    </w:div>
    <w:div w:id="1674794646">
      <w:bodyDiv w:val="1"/>
      <w:marLeft w:val="0"/>
      <w:marRight w:val="0"/>
      <w:marTop w:val="0"/>
      <w:marBottom w:val="0"/>
      <w:divBdr>
        <w:top w:val="none" w:sz="0" w:space="0" w:color="auto"/>
        <w:left w:val="none" w:sz="0" w:space="0" w:color="auto"/>
        <w:bottom w:val="none" w:sz="0" w:space="0" w:color="auto"/>
        <w:right w:val="none" w:sz="0" w:space="0" w:color="auto"/>
      </w:divBdr>
    </w:div>
    <w:div w:id="1711420602">
      <w:bodyDiv w:val="1"/>
      <w:marLeft w:val="0"/>
      <w:marRight w:val="0"/>
      <w:marTop w:val="0"/>
      <w:marBottom w:val="0"/>
      <w:divBdr>
        <w:top w:val="none" w:sz="0" w:space="0" w:color="auto"/>
        <w:left w:val="none" w:sz="0" w:space="0" w:color="auto"/>
        <w:bottom w:val="none" w:sz="0" w:space="0" w:color="auto"/>
        <w:right w:val="none" w:sz="0" w:space="0" w:color="auto"/>
      </w:divBdr>
      <w:divsChild>
        <w:div w:id="1599486139">
          <w:marLeft w:val="0"/>
          <w:marRight w:val="0"/>
          <w:marTop w:val="0"/>
          <w:marBottom w:val="0"/>
          <w:divBdr>
            <w:top w:val="none" w:sz="0" w:space="0" w:color="auto"/>
            <w:left w:val="none" w:sz="0" w:space="0" w:color="auto"/>
            <w:bottom w:val="none" w:sz="0" w:space="0" w:color="auto"/>
            <w:right w:val="none" w:sz="0" w:space="0" w:color="auto"/>
          </w:divBdr>
        </w:div>
      </w:divsChild>
    </w:div>
    <w:div w:id="1738047173">
      <w:bodyDiv w:val="1"/>
      <w:marLeft w:val="0"/>
      <w:marRight w:val="0"/>
      <w:marTop w:val="0"/>
      <w:marBottom w:val="0"/>
      <w:divBdr>
        <w:top w:val="none" w:sz="0" w:space="0" w:color="auto"/>
        <w:left w:val="none" w:sz="0" w:space="0" w:color="auto"/>
        <w:bottom w:val="none" w:sz="0" w:space="0" w:color="auto"/>
        <w:right w:val="none" w:sz="0" w:space="0" w:color="auto"/>
      </w:divBdr>
    </w:div>
    <w:div w:id="2027364183">
      <w:bodyDiv w:val="1"/>
      <w:marLeft w:val="0"/>
      <w:marRight w:val="0"/>
      <w:marTop w:val="0"/>
      <w:marBottom w:val="0"/>
      <w:divBdr>
        <w:top w:val="none" w:sz="0" w:space="0" w:color="auto"/>
        <w:left w:val="none" w:sz="0" w:space="0" w:color="auto"/>
        <w:bottom w:val="none" w:sz="0" w:space="0" w:color="auto"/>
        <w:right w:val="none" w:sz="0" w:space="0" w:color="auto"/>
      </w:divBdr>
    </w:div>
    <w:div w:id="212022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vox.com/platform/amp/energy-and-environment/2019/8/7/20754430/renewable-energy-clean-electricity-grid-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ergy.gov/sites/prod/files/2015/08/f25/LCOE.pdf" TargetMode="External"/><Relationship Id="rId3" Type="http://schemas.openxmlformats.org/officeDocument/2006/relationships/hyperlink" Target="https://en.wikipedia.org/wiki/Efficient_energy_use" TargetMode="External"/><Relationship Id="rId7" Type="http://schemas.openxmlformats.org/officeDocument/2006/relationships/hyperlink" Target="https://www.forbes.com/sites/jeffmcmahon/2019/08/02/why-energy-storage-is-proving-even-more-disruptive-than-cheap-renewables/amp%20" TargetMode="External"/><Relationship Id="rId2" Type="http://schemas.openxmlformats.org/officeDocument/2006/relationships/hyperlink" Target="https://api.MISOenergy.org/MISORTWD/lmpcontourmap.html" TargetMode="External"/><Relationship Id="rId1" Type="http://schemas.openxmlformats.org/officeDocument/2006/relationships/hyperlink" Target="https://www.BuildingScienceInnovators.com/align-by-design.html" TargetMode="External"/><Relationship Id="rId6" Type="http://schemas.openxmlformats.org/officeDocument/2006/relationships/hyperlink" Target="https://www.seia.org/blog/california-takes-significant-step-toward-getting-time-use-rates-right" TargetMode="External"/><Relationship Id="rId5" Type="http://schemas.openxmlformats.org/officeDocument/2006/relationships/hyperlink" Target="http://cityofno.granicus.com/MetaViewer.php?view_id=7&amp;clip_id=1806&amp;meta_id=240639" TargetMode="External"/><Relationship Id="rId4" Type="http://schemas.openxmlformats.org/officeDocument/2006/relationships/hyperlink" Target="https://www.eeba.org/Data/Sites/1/conference/2014/presentations/Katz-Inverted-Demand-Compliant-Constr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2E2D-D0AC-49B4-9151-374F1A9F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7646</Words>
  <Characters>43584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Turnkey Legal Center</Company>
  <LinksUpToDate>false</LinksUpToDate>
  <CharactersWithSpaces>51128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Myron Katz</cp:lastModifiedBy>
  <cp:revision>4</cp:revision>
  <dcterms:created xsi:type="dcterms:W3CDTF">2019-08-23T10:45:00Z</dcterms:created>
  <dcterms:modified xsi:type="dcterms:W3CDTF">2019-08-23T10:50:00Z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LastSaved">
    <vt:filetime>2019-07-05T00:00:00Z</vt:filetime>
  </property>
</Properties>
</file>